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185" w:rsidRPr="00B92992" w:rsidRDefault="00AC3185">
      <w:pPr>
        <w:widowControl w:val="0"/>
        <w:spacing w:line="120" w:lineRule="exact"/>
        <w:rPr>
          <w:rFonts w:ascii="Times New Roman" w:hAnsi="Times New Roman" w:cs="Times New Roman"/>
          <w:sz w:val="24"/>
          <w:szCs w:val="24"/>
        </w:rPr>
      </w:pPr>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2F6D2C">
        <w:rPr>
          <w:rFonts w:ascii="Times New Roman" w:hAnsi="Times New Roman" w:cs="Times New Roman"/>
          <w:noProof/>
          <w:sz w:val="24"/>
          <w:szCs w:val="24"/>
        </w:rPr>
        <w:drawing>
          <wp:inline distT="0" distB="0" distL="0" distR="0">
            <wp:extent cx="2194560" cy="723265"/>
            <wp:effectExtent l="0" t="0" r="0" b="635"/>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94560" cy="723265"/>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A2E9E" w:rsidRDefault="007A2E9E" w:rsidP="00896485">
      <w:pPr>
        <w:widowControl w:val="0"/>
        <w:tabs>
          <w:tab w:val="center" w:pos="5819"/>
        </w:tabs>
        <w:jc w:val="center"/>
        <w:rPr>
          <w:rFonts w:ascii="Times New Roman" w:hAnsi="Times New Roman" w:cs="Times New Roman"/>
          <w:b/>
          <w:bCs/>
          <w:color w:val="000000"/>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8B3775" w:rsidRDefault="00D10463" w:rsidP="00896485">
      <w:pPr>
        <w:widowControl w:val="0"/>
        <w:jc w:val="center"/>
        <w:rPr>
          <w:rFonts w:ascii="Times New Roman" w:hAnsi="Times New Roman" w:cs="Times New Roman"/>
          <w:sz w:val="32"/>
          <w:szCs w:val="32"/>
        </w:rPr>
      </w:pPr>
      <w:r w:rsidRPr="008B3775">
        <w:rPr>
          <w:rFonts w:ascii="Times New Roman" w:hAnsi="Times New Roman" w:cs="Times New Roman"/>
          <w:b/>
          <w:bCs/>
          <w:sz w:val="32"/>
          <w:szCs w:val="32"/>
        </w:rPr>
        <w:t>VAR</w:t>
      </w:r>
      <w:r w:rsidR="00B92992" w:rsidRPr="008B3775">
        <w:rPr>
          <w:rFonts w:ascii="Times New Roman" w:hAnsi="Times New Roman" w:cs="Times New Roman"/>
          <w:b/>
          <w:bCs/>
          <w:sz w:val="32"/>
          <w:szCs w:val="32"/>
        </w:rPr>
        <w:t>-</w:t>
      </w:r>
      <w:r w:rsidRPr="008B3775">
        <w:rPr>
          <w:rFonts w:ascii="Times New Roman" w:hAnsi="Times New Roman" w:cs="Times New Roman"/>
          <w:b/>
          <w:bCs/>
          <w:sz w:val="32"/>
          <w:szCs w:val="32"/>
        </w:rPr>
        <w:t>001</w:t>
      </w:r>
      <w:r w:rsidR="00B92992" w:rsidRPr="008B3775">
        <w:rPr>
          <w:rFonts w:ascii="Times New Roman" w:hAnsi="Times New Roman" w:cs="Times New Roman"/>
          <w:b/>
          <w:bCs/>
          <w:sz w:val="32"/>
          <w:szCs w:val="32"/>
        </w:rPr>
        <w:t>-</w:t>
      </w:r>
      <w:r w:rsidR="00556D6A">
        <w:rPr>
          <w:rFonts w:ascii="Times New Roman" w:hAnsi="Times New Roman" w:cs="Times New Roman"/>
          <w:b/>
          <w:bCs/>
          <w:sz w:val="32"/>
          <w:szCs w:val="32"/>
        </w:rPr>
        <w:t>3</w:t>
      </w:r>
      <w:r w:rsidRPr="008B3775">
        <w:rPr>
          <w:rFonts w:ascii="Times New Roman" w:hAnsi="Times New Roman" w:cs="Times New Roman"/>
          <w:b/>
          <w:bCs/>
          <w:sz w:val="32"/>
          <w:szCs w:val="32"/>
        </w:rPr>
        <w:t xml:space="preserve"> </w:t>
      </w:r>
      <w:r w:rsidR="00B92992" w:rsidRPr="008B3775">
        <w:rPr>
          <w:rFonts w:ascii="Times New Roman" w:hAnsi="Times New Roman" w:cs="Times New Roman"/>
          <w:b/>
          <w:bCs/>
          <w:color w:val="264D74"/>
          <w:sz w:val="32"/>
          <w:szCs w:val="32"/>
        </w:rPr>
        <w:t xml:space="preserve">— </w:t>
      </w:r>
      <w:r w:rsidRPr="008B3775">
        <w:rPr>
          <w:rFonts w:ascii="Times New Roman" w:hAnsi="Times New Roman" w:cs="Times New Roman"/>
          <w:b/>
          <w:bCs/>
          <w:sz w:val="32"/>
          <w:szCs w:val="32"/>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1075E5" w:rsidRDefault="00785A93">
      <w:pPr>
        <w:widowControl w:val="0"/>
        <w:tabs>
          <w:tab w:val="left" w:pos="480"/>
          <w:tab w:val="left" w:pos="3720"/>
        </w:tabs>
        <w:ind w:left="446"/>
        <w:rPr>
          <w:rFonts w:ascii="Times New Roman" w:hAnsi="Times New Roman" w:cs="Times New Roman"/>
          <w:b/>
          <w:bCs/>
          <w:color w:val="000000"/>
          <w:sz w:val="24"/>
          <w:szCs w:val="24"/>
        </w:rPr>
      </w:pPr>
      <w:r w:rsidRPr="008B3775">
        <w:rPr>
          <w:rFonts w:ascii="Times New Roman" w:hAnsi="Times New Roman" w:cs="Times New Roman"/>
          <w:b/>
          <w:bCs/>
          <w:color w:val="264D74"/>
          <w:sz w:val="28"/>
          <w:szCs w:val="28"/>
        </w:rPr>
        <w:t>Applicab</w:t>
      </w:r>
      <w:r w:rsidR="00DD25D8" w:rsidRPr="008B3775">
        <w:rPr>
          <w:rFonts w:ascii="Times New Roman" w:hAnsi="Times New Roman" w:cs="Times New Roman"/>
          <w:b/>
          <w:bCs/>
          <w:color w:val="264D74"/>
          <w:sz w:val="28"/>
          <w:szCs w:val="28"/>
        </w:rPr>
        <w:t>le Function</w:t>
      </w:r>
      <w:r w:rsidR="00B92992" w:rsidRPr="008B3775">
        <w:rPr>
          <w:rFonts w:ascii="Times New Roman" w:hAnsi="Times New Roman" w:cs="Times New Roman"/>
          <w:b/>
          <w:bCs/>
          <w:color w:val="264D74"/>
          <w:sz w:val="28"/>
          <w:szCs w:val="28"/>
        </w:rPr>
        <w:t>(</w:t>
      </w:r>
      <w:r w:rsidR="00DD25D8" w:rsidRPr="008B3775">
        <w:rPr>
          <w:rFonts w:ascii="Times New Roman" w:hAnsi="Times New Roman" w:cs="Times New Roman"/>
          <w:b/>
          <w:bCs/>
          <w:color w:val="264D74"/>
          <w:sz w:val="28"/>
          <w:szCs w:val="28"/>
        </w:rPr>
        <w:t>s</w:t>
      </w:r>
      <w:r w:rsidR="00B92992" w:rsidRPr="008B3775">
        <w:rPr>
          <w:rFonts w:ascii="Times New Roman" w:hAnsi="Times New Roman" w:cs="Times New Roman"/>
          <w:b/>
          <w:bCs/>
          <w:color w:val="264D74"/>
          <w:sz w:val="28"/>
          <w:szCs w:val="28"/>
        </w:rPr>
        <w:t>)</w:t>
      </w:r>
      <w:r w:rsidRPr="008B3775">
        <w:rPr>
          <w:rFonts w:ascii="Times New Roman" w:hAnsi="Times New Roman" w:cs="Times New Roman"/>
          <w:b/>
          <w:bCs/>
          <w:color w:val="264D74"/>
          <w:sz w:val="28"/>
          <w:szCs w:val="28"/>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r w:rsidR="00915C14">
        <w:rPr>
          <w:rFonts w:ascii="Times New Roman" w:hAnsi="Times New Roman" w:cs="Times New Roman"/>
          <w:b/>
          <w:bCs/>
          <w:color w:val="000000"/>
          <w:sz w:val="24"/>
          <w:szCs w:val="24"/>
        </w:rPr>
        <w:t>, LS</w:t>
      </w:r>
      <w:r w:rsidR="00D318C9">
        <w:rPr>
          <w:rFonts w:ascii="Times New Roman" w:hAnsi="Times New Roman" w:cs="Times New Roman"/>
          <w:b/>
          <w:bCs/>
          <w:color w:val="000000"/>
          <w:sz w:val="24"/>
          <w:szCs w:val="24"/>
        </w:rPr>
        <w:t>E</w:t>
      </w:r>
    </w:p>
    <w:p w:rsidR="001075E5" w:rsidRDefault="002E6BFF">
      <w:pPr>
        <w:widowControl w:val="0"/>
        <w:tabs>
          <w:tab w:val="left" w:pos="3420"/>
        </w:tabs>
        <w:ind w:left="446"/>
        <w:rPr>
          <w:rFonts w:ascii="Times New Roman" w:hAnsi="Times New Roman" w:cs="Times New Roman"/>
          <w:bCs/>
          <w:sz w:val="24"/>
          <w:szCs w:val="24"/>
        </w:rPr>
      </w:pP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sidR="00204D91">
        <w:rPr>
          <w:rFonts w:ascii="Times New Roman" w:hAnsi="Times New Roman" w:cs="Times New Roman"/>
          <w:b/>
          <w:bCs/>
          <w:color w:val="000000"/>
          <w:sz w:val="24"/>
          <w:szCs w:val="24"/>
        </w:rPr>
        <w:t>G</w:t>
      </w:r>
      <w:r>
        <w:rPr>
          <w:rFonts w:ascii="Times New Roman" w:hAnsi="Times New Roman" w:cs="Times New Roman"/>
          <w:b/>
          <w:bCs/>
          <w:color w:val="000000"/>
          <w:sz w:val="24"/>
          <w:szCs w:val="24"/>
        </w:rPr>
        <w:t>OPs</w:t>
      </w:r>
      <w:r w:rsidR="00204D91">
        <w:rPr>
          <w:rFonts w:ascii="Times New Roman" w:hAnsi="Times New Roman" w:cs="Times New Roman"/>
          <w:b/>
          <w:bCs/>
          <w:color w:val="000000"/>
          <w:sz w:val="24"/>
          <w:szCs w:val="24"/>
        </w:rPr>
        <w:t xml:space="preserve"> within WECC</w:t>
      </w:r>
      <w:r w:rsidR="00E8138E">
        <w:rPr>
          <w:rFonts w:ascii="Times New Roman" w:hAnsi="Times New Roman" w:cs="Times New Roman"/>
          <w:b/>
          <w:bCs/>
          <w:color w:val="000000"/>
          <w:sz w:val="24"/>
          <w:szCs w:val="24"/>
        </w:rPr>
        <w:t xml:space="preserve"> </w:t>
      </w:r>
      <w:r w:rsidR="00E8138E">
        <w:rPr>
          <w:rFonts w:ascii="Times New Roman" w:hAnsi="Times New Roman" w:cs="Times New Roman"/>
          <w:b/>
          <w:bCs/>
          <w:color w:val="264D74"/>
          <w:sz w:val="28"/>
          <w:szCs w:val="28"/>
        </w:rPr>
        <w:tab/>
      </w:r>
      <w:r w:rsidR="00E8138E">
        <w:rPr>
          <w:rFonts w:ascii="Times New Roman" w:hAnsi="Times New Roman" w:cs="Times New Roman"/>
          <w:b/>
          <w:bCs/>
          <w:color w:val="264D74"/>
          <w:sz w:val="28"/>
          <w:szCs w:val="28"/>
        </w:rPr>
        <w:tab/>
      </w:r>
      <w:r w:rsidR="00E8138E">
        <w:rPr>
          <w:rFonts w:ascii="Times New Roman" w:hAnsi="Times New Roman" w:cs="Times New Roman"/>
          <w:b/>
          <w:bCs/>
          <w:color w:val="264D74"/>
          <w:sz w:val="28"/>
          <w:szCs w:val="28"/>
        </w:rPr>
        <w:tab/>
      </w:r>
      <w:r w:rsidR="00D46A6D" w:rsidRPr="00D46A6D">
        <w:rPr>
          <w:rFonts w:ascii="Times New Roman" w:hAnsi="Times New Roman" w:cs="Times New Roman"/>
          <w:bCs/>
          <w:sz w:val="24"/>
          <w:szCs w:val="24"/>
        </w:rPr>
        <w:t>(Use RSAW on WECC website)</w:t>
      </w:r>
    </w:p>
    <w:p w:rsidR="001075E5" w:rsidRDefault="00E8138E">
      <w:pPr>
        <w:widowControl w:val="0"/>
        <w:tabs>
          <w:tab w:val="left" w:pos="480"/>
          <w:tab w:val="left" w:pos="3720"/>
        </w:tabs>
        <w:ind w:left="446"/>
        <w:rPr>
          <w:rFonts w:ascii="Times New Roman" w:hAnsi="Times New Roman" w:cs="Times New Roman"/>
          <w:b/>
          <w:bCs/>
          <w:color w:val="000000"/>
          <w:sz w:val="24"/>
          <w:szCs w:val="24"/>
        </w:rPr>
      </w:pP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p>
    <w:p w:rsidR="00A63867" w:rsidRPr="008B3775" w:rsidRDefault="00A63867" w:rsidP="004C05EE">
      <w:pPr>
        <w:widowControl w:val="0"/>
        <w:tabs>
          <w:tab w:val="left" w:pos="90"/>
          <w:tab w:val="left" w:pos="720"/>
        </w:tabs>
        <w:spacing w:line="480" w:lineRule="auto"/>
        <w:ind w:left="446"/>
        <w:rPr>
          <w:b/>
          <w:bCs/>
          <w:color w:val="264D74"/>
          <w:sz w:val="28"/>
          <w:szCs w:val="28"/>
        </w:rPr>
      </w:pPr>
      <w:r w:rsidRPr="008B3775">
        <w:rPr>
          <w:rFonts w:ascii="Times New Roman" w:hAnsi="Times New Roman" w:cs="Times New Roman"/>
          <w:b/>
          <w:color w:val="17365D"/>
          <w:sz w:val="28"/>
          <w:szCs w:val="28"/>
        </w:rPr>
        <w:t>Auditors:</w:t>
      </w:r>
      <w:r w:rsidRPr="008B3775">
        <w:rPr>
          <w:rFonts w:ascii="Times New Roman" w:hAnsi="Times New Roman" w:cs="Times New Roman"/>
          <w:b/>
          <w:sz w:val="28"/>
          <w:szCs w:val="28"/>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8B3775" w:rsidRDefault="009830C0" w:rsidP="009830C0">
      <w:pPr>
        <w:widowControl w:val="0"/>
        <w:tabs>
          <w:tab w:val="left" w:pos="120"/>
        </w:tabs>
        <w:spacing w:line="331"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1075E5">
        <w:rPr>
          <w:rFonts w:ascii="Times New Roman" w:hAnsi="Times New Roman" w:cs="Times New Roman"/>
          <w:color w:val="000000"/>
          <w:sz w:val="24"/>
          <w:szCs w:val="24"/>
        </w:rPr>
        <w:t xml:space="preserve">.  </w:t>
      </w:r>
      <w:r w:rsidR="00B92992" w:rsidRPr="0020533B">
        <w:rPr>
          <w:rFonts w:ascii="Times New Roman" w:hAnsi="Times New Roman" w:cs="Times New Roman"/>
          <w:color w:val="000000"/>
          <w:sz w:val="24"/>
          <w:szCs w:val="24"/>
        </w:rPr>
        <w:t>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w:t>
      </w:r>
      <w:proofErr w:type="gramStart"/>
      <w:r w:rsidRPr="0020533B">
        <w:rPr>
          <w:rFonts w:ascii="Times New Roman" w:hAnsi="Times New Roman" w:cs="Times New Roman"/>
          <w:color w:val="000000"/>
          <w:sz w:val="24"/>
          <w:szCs w:val="24"/>
        </w:rPr>
        <w:t>only,</w:t>
      </w:r>
      <w:proofErr w:type="gramEnd"/>
      <w:r w:rsidRPr="0020533B">
        <w:rPr>
          <w:rFonts w:ascii="Times New Roman" w:hAnsi="Times New Roman" w:cs="Times New Roman"/>
          <w:color w:val="000000"/>
          <w:sz w:val="24"/>
          <w:szCs w:val="24"/>
        </w:rPr>
        <w:t xml:space="preserve">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Pr="008B3775" w:rsidRDefault="00C027A5" w:rsidP="008729F2">
      <w:pPr>
        <w:pStyle w:val="Heading1"/>
        <w:rPr>
          <w:sz w:val="48"/>
          <w:szCs w:val="48"/>
        </w:rPr>
      </w:pPr>
      <w:r>
        <w:rPr>
          <w:rFonts w:ascii="Times New Roman" w:hAnsi="Times New Roman" w:cs="Times New Roman"/>
          <w:sz w:val="24"/>
          <w:szCs w:val="24"/>
        </w:rPr>
        <w:br w:type="page"/>
      </w:r>
      <w:r w:rsidR="008729F2" w:rsidRPr="008B3775">
        <w:rPr>
          <w:sz w:val="48"/>
          <w:szCs w:val="48"/>
        </w:rPr>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Pr="008B3775" w:rsidRDefault="008F4B5C" w:rsidP="008F4B5C">
      <w:pPr>
        <w:pStyle w:val="Heading1"/>
        <w:rPr>
          <w:sz w:val="48"/>
          <w:szCs w:val="48"/>
        </w:rPr>
      </w:pPr>
      <w:r w:rsidRPr="008B3775">
        <w:rPr>
          <w:sz w:val="48"/>
          <w:szCs w:val="48"/>
        </w:rPr>
        <w:lastRenderedPageBreak/>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8B3775" w:rsidRDefault="00785A93">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B3775">
        <w:rPr>
          <w:rFonts w:ascii="Times New Roman" w:hAnsi="Times New Roman" w:cs="Times New Roman"/>
          <w:sz w:val="28"/>
          <w:szCs w:val="28"/>
        </w:rPr>
        <w:tab/>
      </w:r>
      <w:r w:rsidR="00E76824">
        <w:rPr>
          <w:rFonts w:ascii="Times New Roman" w:hAnsi="Times New Roman" w:cs="Times New Roman"/>
          <w:b/>
          <w:bCs/>
          <w:color w:val="264D74"/>
          <w:sz w:val="28"/>
          <w:szCs w:val="28"/>
        </w:rPr>
        <w:t>VAR-001-3</w:t>
      </w:r>
      <w:r w:rsidRPr="008B3775">
        <w:rPr>
          <w:rFonts w:ascii="Times New Roman" w:hAnsi="Times New Roman" w:cs="Times New Roman"/>
          <w:b/>
          <w:bCs/>
          <w:color w:val="264D74"/>
          <w:sz w:val="28"/>
          <w:szCs w:val="28"/>
        </w:rPr>
        <w:t xml:space="preserve"> </w:t>
      </w:r>
      <w:r w:rsidR="00B92992" w:rsidRPr="008B3775">
        <w:rPr>
          <w:rFonts w:ascii="Times New Roman" w:hAnsi="Times New Roman" w:cs="Times New Roman"/>
          <w:b/>
          <w:bCs/>
          <w:color w:val="264D74"/>
          <w:sz w:val="28"/>
          <w:szCs w:val="28"/>
        </w:rPr>
        <w:t xml:space="preserve">— </w:t>
      </w:r>
      <w:r w:rsidRPr="008B3775">
        <w:rPr>
          <w:rFonts w:ascii="Times New Roman" w:hAnsi="Times New Roman" w:cs="Times New Roman"/>
          <w:b/>
          <w:bCs/>
          <w:color w:val="264D74"/>
          <w:sz w:val="28"/>
          <w:szCs w:val="28"/>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r w:rsidR="00915C14">
        <w:rPr>
          <w:rFonts w:ascii="Times New Roman" w:hAnsi="Times New Roman" w:cs="Times New Roman"/>
          <w:sz w:val="24"/>
          <w:szCs w:val="24"/>
        </w:rPr>
        <w:t>Load Serving Entities</w:t>
      </w:r>
    </w:p>
    <w:p w:rsidR="00204D91" w:rsidRPr="00B92992" w:rsidRDefault="00204D91" w:rsidP="00DD25D8">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Generator Operators within the Western Interconnection</w:t>
      </w:r>
      <w:r w:rsidR="00AC3185">
        <w:rPr>
          <w:rFonts w:ascii="Times New Roman" w:hAnsi="Times New Roman" w:cs="Times New Roman"/>
          <w:sz w:val="24"/>
          <w:szCs w:val="24"/>
        </w:rPr>
        <w:t xml:space="preserve"> (Regional Variance)</w:t>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NERC BOT Approval Date: </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United States: </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8B3775" w:rsidRDefault="00D10463">
      <w:pPr>
        <w:widowControl w:val="0"/>
        <w:spacing w:line="294"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individually and jointly with other Transmission Operators, shall ensure that formal policies and procedures are developed, maintained, and implemented for monitoring and controlling voltage levels and </w:t>
      </w:r>
      <w:proofErr w:type="spellStart"/>
      <w:r w:rsidRPr="00B92992">
        <w:rPr>
          <w:sz w:val="24"/>
          <w:szCs w:val="24"/>
        </w:rPr>
        <w:t>Mvar</w:t>
      </w:r>
      <w:proofErr w:type="spellEnd"/>
      <w:r w:rsidRPr="00B92992">
        <w:rPr>
          <w:sz w:val="24"/>
          <w:szCs w:val="24"/>
        </w:rPr>
        <w:t xml:space="preserve"> flows within their individual areas and with the areas of neighboring Transmission Operators</w:t>
      </w:r>
      <w:r w:rsidR="00D17ECB" w:rsidRPr="00B92992">
        <w:rPr>
          <w:sz w:val="24"/>
          <w:szCs w:val="24"/>
        </w:rPr>
        <w:t>.</w:t>
      </w: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acquire sufficient reactive resources </w:t>
      </w:r>
      <w:r w:rsidR="00915C14">
        <w:rPr>
          <w:sz w:val="24"/>
          <w:szCs w:val="24"/>
        </w:rPr>
        <w:t>-</w:t>
      </w:r>
      <w:r w:rsidR="002A7377">
        <w:rPr>
          <w:sz w:val="24"/>
          <w:szCs w:val="24"/>
        </w:rPr>
        <w:t xml:space="preserve"> which may include, but is not limited to, reactive generation scheduling; transmission line and reactive resource switching; and controllable load </w:t>
      </w:r>
      <w:r w:rsidRPr="00B92992">
        <w:rPr>
          <w:sz w:val="24"/>
          <w:szCs w:val="24"/>
        </w:rPr>
        <w:t>within its area to protect the voltage levels under normal and Contingency conditions.  This includes the Transmission Operator’s share of the reactive requirements of interconnecting transmission circuits.</w:t>
      </w: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1075E5" w:rsidRDefault="00ED62E4">
      <w:pPr>
        <w:widowControl w:val="0"/>
        <w:tabs>
          <w:tab w:val="left" w:pos="108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00D46A6D" w:rsidRPr="00D46A6D">
        <w:rPr>
          <w:rFonts w:ascii="Times New Roman" w:hAnsi="Times New Roman" w:cs="Times New Roman"/>
          <w:bCs/>
          <w:color w:val="365F91"/>
          <w:sz w:val="24"/>
          <w:szCs w:val="24"/>
          <w:u w:val="single"/>
        </w:rPr>
        <w:t>__</w:t>
      </w:r>
      <w:r w:rsidR="00E51443">
        <w:rPr>
          <w:rFonts w:ascii="Times New Roman" w:hAnsi="Times New Roman" w:cs="Times New Roman"/>
          <w:bCs/>
          <w:color w:val="365F91"/>
          <w:sz w:val="24"/>
          <w:szCs w:val="24"/>
          <w:u w:val="single"/>
        </w:rPr>
        <w:t>_</w:t>
      </w:r>
      <w:r w:rsidR="00D46A6D" w:rsidRPr="00D46A6D">
        <w:rPr>
          <w:rFonts w:ascii="Times New Roman" w:hAnsi="Times New Roman" w:cs="Times New Roman"/>
          <w:bCs/>
          <w:color w:val="365F91"/>
          <w:sz w:val="24"/>
          <w:szCs w:val="24"/>
        </w:rPr>
        <w:t xml:space="preserve"> </w:t>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00E51443">
        <w:rPr>
          <w:rFonts w:ascii="Times New Roman" w:hAnsi="Times New Roman" w:cs="Times New Roman"/>
          <w:b/>
          <w:bCs/>
          <w:color w:val="365F91"/>
          <w:sz w:val="24"/>
          <w:szCs w:val="24"/>
        </w:rPr>
        <w:t xml:space="preserve"> </w:t>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D17ECB">
      <w:pPr>
        <w:pStyle w:val="Requirement"/>
        <w:numPr>
          <w:ilvl w:val="0"/>
          <w:numId w:val="0"/>
        </w:numPr>
        <w:ind w:left="2088" w:hanging="792"/>
        <w:rPr>
          <w:sz w:val="24"/>
          <w:szCs w:val="24"/>
        </w:rPr>
      </w:pPr>
    </w:p>
    <w:p w:rsidR="00556D6A" w:rsidRPr="00B92992" w:rsidRDefault="00556D6A"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w:t>
      </w:r>
      <w:proofErr w:type="gramStart"/>
      <w:r w:rsidR="0096189A">
        <w:rPr>
          <w:rFonts w:ascii="Times New Roman" w:hAnsi="Times New Roman" w:cs="Times New Roman"/>
          <w:sz w:val="24"/>
          <w:szCs w:val="24"/>
        </w:rPr>
        <w:t xml:space="preserve">criteria </w:t>
      </w:r>
      <w:r w:rsidRPr="00B92992">
        <w:rPr>
          <w:rFonts w:ascii="Times New Roman" w:hAnsi="Times New Roman" w:cs="Times New Roman"/>
          <w:sz w:val="24"/>
          <w:szCs w:val="24"/>
        </w:rPr>
        <w:t>that exempts</w:t>
      </w:r>
      <w:proofErr w:type="gramEnd"/>
      <w:r w:rsidRPr="00B92992">
        <w:rPr>
          <w:rFonts w:ascii="Times New Roman" w:hAnsi="Times New Roman" w:cs="Times New Roman"/>
          <w:sz w:val="24"/>
          <w:szCs w:val="24"/>
        </w:rPr>
        <w:t xml:space="preserve">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lastRenderedPageBreak/>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Default="009830C0" w:rsidP="00DD25D8">
      <w:pPr>
        <w:spacing w:line="360" w:lineRule="exact"/>
        <w:rPr>
          <w:rFonts w:ascii="Times New Roman" w:hAnsi="Times New Roman" w:cs="Times New Roman"/>
          <w:sz w:val="24"/>
          <w:szCs w:val="24"/>
        </w:rPr>
      </w:pPr>
    </w:p>
    <w:p w:rsidR="001075E5" w:rsidRPr="001075E5" w:rsidRDefault="00D46A6D" w:rsidP="001075E5">
      <w:pPr>
        <w:rPr>
          <w:rFonts w:ascii="Times New Roman" w:hAnsi="Times New Roman" w:cs="Times New Roman"/>
          <w:b/>
          <w:bCs/>
          <w:color w:val="FF0000"/>
          <w:sz w:val="24"/>
          <w:szCs w:val="24"/>
        </w:rPr>
      </w:pPr>
      <w:r w:rsidRPr="00D46A6D">
        <w:rPr>
          <w:rFonts w:ascii="Times New Roman" w:hAnsi="Times New Roman" w:cs="Times New Roman"/>
          <w:b/>
          <w:sz w:val="24"/>
          <w:szCs w:val="24"/>
        </w:rPr>
        <w:tab/>
      </w:r>
      <w:r w:rsidRPr="00D46A6D">
        <w:rPr>
          <w:rFonts w:ascii="Times New Roman" w:hAnsi="Times New Roman" w:cs="Times New Roman"/>
          <w:b/>
          <w:sz w:val="24"/>
          <w:szCs w:val="24"/>
        </w:rPr>
        <w:tab/>
      </w:r>
      <w:r w:rsidRPr="00D46A6D">
        <w:rPr>
          <w:rFonts w:ascii="Times New Roman" w:hAnsi="Times New Roman" w:cs="Times New Roman"/>
          <w:b/>
          <w:sz w:val="24"/>
          <w:szCs w:val="24"/>
        </w:rPr>
        <w:tab/>
      </w:r>
      <w:r w:rsidR="001075E5" w:rsidRPr="001075E5">
        <w:rPr>
          <w:rFonts w:ascii="Times New Roman" w:hAnsi="Times New Roman" w:cs="Times New Roman"/>
          <w:b/>
          <w:color w:val="FF0000"/>
          <w:sz w:val="24"/>
          <w:szCs w:val="24"/>
        </w:rPr>
        <w:t xml:space="preserve">NOTE: Beginning January 1, 2014, R4 was replaced with requirements in the Regional Variance section of this Standard for entities in the Western Interconnection. WECC entities use </w:t>
      </w:r>
      <w:r w:rsidR="001075E5" w:rsidRPr="001075E5">
        <w:rPr>
          <w:rFonts w:ascii="Times New Roman" w:hAnsi="Times New Roman" w:cs="Times New Roman"/>
          <w:b/>
          <w:bCs/>
          <w:color w:val="FF0000"/>
          <w:sz w:val="24"/>
          <w:szCs w:val="24"/>
        </w:rPr>
        <w:t>RSAW on the WECC website.</w:t>
      </w:r>
    </w:p>
    <w:p w:rsidR="001075E5" w:rsidRPr="001075E5" w:rsidRDefault="001075E5">
      <w:pPr>
        <w:rPr>
          <w:rFonts w:ascii="Times New Roman" w:hAnsi="Times New Roman" w:cs="Times New Roman"/>
          <w:b/>
          <w:bCs/>
          <w:color w:val="FF0000"/>
          <w:sz w:val="24"/>
          <w:szCs w:val="24"/>
        </w:rPr>
      </w:pPr>
    </w:p>
    <w:p w:rsidR="00032871" w:rsidRPr="00B92992" w:rsidRDefault="00032871"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R3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1075E5" w:rsidRDefault="00E54B6F">
      <w:pPr>
        <w:ind w:left="1080" w:hanging="54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needing</w:t>
      </w:r>
      <w:proofErr w:type="gramEnd"/>
      <w:r w:rsidRPr="00E54B6F">
        <w:rPr>
          <w:rFonts w:ascii="Times New Roman" w:hAnsi="Times New Roman" w:cs="Times New Roman"/>
          <w:color w:val="365F91"/>
          <w:sz w:val="24"/>
          <w:szCs w:val="24"/>
        </w:rPr>
        <w:t xml:space="preserve"> to comply with Requirement 4 and Requirement R6.1</w:t>
      </w:r>
      <w:r w:rsidR="00032871">
        <w:rPr>
          <w:rFonts w:ascii="Times New Roman" w:hAnsi="Times New Roman" w:cs="Times New Roman"/>
          <w:color w:val="365F91"/>
          <w:sz w:val="24"/>
          <w:szCs w:val="24"/>
        </w:rPr>
        <w:t>.</w:t>
      </w:r>
    </w:p>
    <w:p w:rsidR="00E54B6F" w:rsidRPr="00E54B6F" w:rsidRDefault="00E54B6F" w:rsidP="00E54B6F">
      <w:pPr>
        <w:ind w:left="360"/>
        <w:rPr>
          <w:rFonts w:ascii="Times New Roman" w:hAnsi="Times New Roman" w:cs="Times New Roman"/>
          <w:color w:val="365F91"/>
          <w:sz w:val="24"/>
          <w:szCs w:val="24"/>
        </w:rPr>
      </w:pPr>
    </w:p>
    <w:p w:rsidR="001075E5" w:rsidRDefault="00E54B6F">
      <w:pPr>
        <w:ind w:left="1350" w:hanging="990"/>
        <w:rPr>
          <w:rFonts w:ascii="Times New Roman" w:hAnsi="Times New Roman" w:cs="Times New Roman"/>
          <w:color w:val="365F91"/>
          <w:sz w:val="24"/>
          <w:szCs w:val="24"/>
        </w:rPr>
      </w:pPr>
      <w:r w:rsidRPr="00E54B6F">
        <w:rPr>
          <w:rFonts w:ascii="Times New Roman" w:hAnsi="Times New Roman" w:cs="Times New Roman"/>
          <w:color w:val="365F91"/>
          <w:sz w:val="24"/>
          <w:szCs w:val="24"/>
        </w:rPr>
        <w:lastRenderedPageBreak/>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1075E5" w:rsidRDefault="00E54B6F">
      <w:pPr>
        <w:ind w:left="90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notified all Generator Owners </w:t>
      </w:r>
      <w:r w:rsidR="00556D6A">
        <w:rPr>
          <w:rFonts w:ascii="Times New Roman" w:hAnsi="Times New Roman" w:cs="Times New Roman"/>
          <w:color w:val="365F91"/>
          <w:sz w:val="24"/>
          <w:szCs w:val="24"/>
        </w:rPr>
        <w:t>with the generators on</w:t>
      </w:r>
      <w:r w:rsidRPr="00E54B6F">
        <w:rPr>
          <w:rFonts w:ascii="Times New Roman" w:hAnsi="Times New Roman" w:cs="Times New Roman"/>
          <w:color w:val="365F91"/>
          <w:sz w:val="24"/>
          <w:szCs w:val="24"/>
        </w:rPr>
        <w:t xml:space="preserve"> the above list</w:t>
      </w:r>
      <w:r w:rsidR="00032871">
        <w:rPr>
          <w:rFonts w:ascii="Times New Roman" w:hAnsi="Times New Roman" w:cs="Times New Roman"/>
          <w:color w:val="365F91"/>
          <w:sz w:val="24"/>
          <w:szCs w:val="24"/>
        </w:rPr>
        <w: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E91D97" w:rsidRDefault="00E91D97" w:rsidP="00DD25D8">
      <w:pPr>
        <w:spacing w:line="360" w:lineRule="exact"/>
        <w:rPr>
          <w:rFonts w:ascii="Times New Roman" w:hAnsi="Times New Roman" w:cs="Times New Roman"/>
          <w:b/>
          <w:sz w:val="24"/>
          <w:szCs w:val="24"/>
        </w:rPr>
      </w:pPr>
    </w:p>
    <w:p w:rsidR="00DA5BF8" w:rsidRPr="001075E5" w:rsidRDefault="00E91D97" w:rsidP="001075E5">
      <w:pPr>
        <w:rPr>
          <w:rFonts w:ascii="Times New Roman" w:hAnsi="Times New Roman" w:cs="Times New Roman"/>
          <w:b/>
          <w:bCs/>
          <w:color w:val="FF0000"/>
          <w:sz w:val="24"/>
          <w:szCs w:val="24"/>
        </w:rPr>
      </w:pPr>
      <w:r w:rsidRPr="001075E5">
        <w:rPr>
          <w:rFonts w:ascii="Times New Roman" w:hAnsi="Times New Roman" w:cs="Times New Roman"/>
          <w:b/>
          <w:color w:val="FF0000"/>
          <w:sz w:val="24"/>
          <w:szCs w:val="24"/>
        </w:rPr>
        <w:t xml:space="preserve">NOTE: Beginning January 1, 2014, R4 was replaced with requirements in the Regional Variance </w:t>
      </w:r>
      <w:r w:rsidR="00DA5BF8" w:rsidRPr="001075E5">
        <w:rPr>
          <w:rFonts w:ascii="Times New Roman" w:hAnsi="Times New Roman" w:cs="Times New Roman"/>
          <w:b/>
          <w:color w:val="FF0000"/>
          <w:sz w:val="24"/>
          <w:szCs w:val="24"/>
        </w:rPr>
        <w:t>section of this</w:t>
      </w:r>
      <w:r w:rsidRPr="001075E5">
        <w:rPr>
          <w:rFonts w:ascii="Times New Roman" w:hAnsi="Times New Roman" w:cs="Times New Roman"/>
          <w:b/>
          <w:color w:val="FF0000"/>
          <w:sz w:val="24"/>
          <w:szCs w:val="24"/>
        </w:rPr>
        <w:t xml:space="preserve"> Standard for entities in the Western Interconnection.</w:t>
      </w:r>
      <w:r w:rsidR="00DA5BF8" w:rsidRPr="001075E5">
        <w:rPr>
          <w:rFonts w:ascii="Times New Roman" w:hAnsi="Times New Roman" w:cs="Times New Roman"/>
          <w:b/>
          <w:color w:val="FF0000"/>
          <w:sz w:val="24"/>
          <w:szCs w:val="24"/>
        </w:rPr>
        <w:t xml:space="preserve"> WECC entities use </w:t>
      </w:r>
      <w:r w:rsidR="00DA5BF8" w:rsidRPr="001075E5">
        <w:rPr>
          <w:rFonts w:ascii="Times New Roman" w:hAnsi="Times New Roman" w:cs="Times New Roman"/>
          <w:b/>
          <w:bCs/>
          <w:color w:val="FF0000"/>
          <w:sz w:val="24"/>
          <w:szCs w:val="24"/>
        </w:rPr>
        <w:t>RSAW on the WECC website.</w:t>
      </w:r>
    </w:p>
    <w:p w:rsidR="001075E5" w:rsidRDefault="001075E5">
      <w:pPr>
        <w:ind w:left="806" w:hanging="806"/>
        <w:rPr>
          <w:rFonts w:ascii="Times New Roman" w:hAnsi="Times New Roman" w:cs="Times New Roman"/>
          <w:b/>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R4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w:t>
      </w:r>
      <w:r w:rsidR="007436D9">
        <w:rPr>
          <w:rFonts w:ascii="Times New Roman" w:hAnsi="Times New Roman" w:cs="Times New Roman"/>
          <w:color w:val="365F91"/>
          <w:sz w:val="24"/>
          <w:szCs w:val="24"/>
        </w:rPr>
        <w:t>G</w:t>
      </w:r>
      <w:r w:rsidRPr="00E54B6F">
        <w:rPr>
          <w:rFonts w:ascii="Times New Roman" w:hAnsi="Times New Roman" w:cs="Times New Roman"/>
          <w:color w:val="365F91"/>
          <w:sz w:val="24"/>
          <w:szCs w:val="24"/>
        </w:rPr>
        <w:t xml:space="preserve">enerator </w:t>
      </w:r>
      <w:r w:rsidR="007436D9">
        <w:rPr>
          <w:rFonts w:ascii="Times New Roman" w:hAnsi="Times New Roman" w:cs="Times New Roman"/>
          <w:color w:val="365F91"/>
          <w:sz w:val="24"/>
          <w:szCs w:val="24"/>
        </w:rPr>
        <w:t xml:space="preserve">Operator </w:t>
      </w:r>
      <w:r w:rsidRPr="00E54B6F">
        <w:rPr>
          <w:rFonts w:ascii="Times New Roman" w:hAnsi="Times New Roman" w:cs="Times New Roman"/>
          <w:color w:val="365F91"/>
          <w:sz w:val="24"/>
          <w:szCs w:val="24"/>
        </w:rPr>
        <w:t>at the interconnection between the generator facility and the</w:t>
      </w:r>
      <w:r w:rsidR="007436D9">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 xml:space="preserve">    </w:t>
      </w:r>
    </w:p>
    <w:p w:rsidR="00E54B6F" w:rsidRPr="00E54B6F" w:rsidRDefault="00E54B6F" w:rsidP="007E4420">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 xml:space="preserve">Transmission </w:t>
      </w:r>
      <w:r w:rsidR="007436D9">
        <w:rPr>
          <w:rFonts w:ascii="Times New Roman" w:hAnsi="Times New Roman" w:cs="Times New Roman"/>
          <w:color w:val="365F91"/>
          <w:sz w:val="24"/>
          <w:szCs w:val="24"/>
        </w:rPr>
        <w:t>Owner’s</w:t>
      </w:r>
      <w:r w:rsidR="007436D9" w:rsidRPr="00E54B6F">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facilities.</w:t>
      </w:r>
      <w:proofErr w:type="gramEnd"/>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Generator Operator.</w:t>
      </w:r>
      <w:proofErr w:type="gramEnd"/>
    </w:p>
    <w:p w:rsidR="00E54B6F" w:rsidRPr="00E54B6F" w:rsidRDefault="00E54B6F" w:rsidP="00E54B6F">
      <w:pPr>
        <w:ind w:left="360"/>
        <w:rPr>
          <w:rFonts w:ascii="Times New Roman" w:hAnsi="Times New Roman" w:cs="Times New Roman"/>
          <w:color w:val="365F91"/>
          <w:sz w:val="24"/>
          <w:szCs w:val="24"/>
        </w:rPr>
      </w:pPr>
    </w:p>
    <w:p w:rsidR="00B2239D" w:rsidRDefault="00E54B6F" w:rsidP="00B2239D">
      <w:pPr>
        <w:ind w:left="720" w:hanging="27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w:t>
      </w:r>
      <w:r w:rsidRPr="00E54B6F">
        <w:rPr>
          <w:rFonts w:ascii="Times New Roman" w:hAnsi="Times New Roman" w:cs="Times New Roman"/>
          <w:color w:val="365F91"/>
          <w:sz w:val="24"/>
          <w:szCs w:val="24"/>
        </w:rPr>
        <w:t xml:space="preserve">Determine if the Transmission Operator directed the Generator </w:t>
      </w:r>
      <w:r w:rsidR="007436D9">
        <w:rPr>
          <w:rFonts w:ascii="Times New Roman" w:hAnsi="Times New Roman" w:cs="Times New Roman"/>
          <w:color w:val="365F91"/>
          <w:sz w:val="24"/>
          <w:szCs w:val="24"/>
        </w:rPr>
        <w:t xml:space="preserve">Operator </w:t>
      </w:r>
      <w:r w:rsidRPr="00E54B6F">
        <w:rPr>
          <w:rFonts w:ascii="Times New Roman" w:hAnsi="Times New Roman" w:cs="Times New Roman"/>
          <w:color w:val="365F91"/>
          <w:sz w:val="24"/>
          <w:szCs w:val="24"/>
        </w:rPr>
        <w:t xml:space="preserve">to comply with the </w:t>
      </w:r>
      <w:r w:rsidR="00B2239D">
        <w:rPr>
          <w:rFonts w:ascii="Times New Roman" w:hAnsi="Times New Roman" w:cs="Times New Roman"/>
          <w:color w:val="365F91"/>
          <w:sz w:val="24"/>
          <w:szCs w:val="24"/>
        </w:rPr>
        <w:t xml:space="preserve"> </w:t>
      </w:r>
    </w:p>
    <w:p w:rsidR="00E54B6F" w:rsidRPr="00E54B6F" w:rsidRDefault="00B2239D" w:rsidP="00B2239D">
      <w:pPr>
        <w:ind w:left="720" w:hanging="270"/>
        <w:rPr>
          <w:rFonts w:ascii="Times New Roman" w:hAnsi="Times New Roman" w:cs="Times New Roman"/>
          <w:color w:val="365F91"/>
          <w:sz w:val="24"/>
          <w:szCs w:val="24"/>
        </w:rPr>
      </w:pPr>
      <w:r>
        <w:rPr>
          <w:rFonts w:ascii="Times New Roman" w:hAnsi="Times New Roman" w:cs="Times New Roman"/>
          <w:b/>
          <w:color w:val="365F91"/>
          <w:sz w:val="24"/>
          <w:szCs w:val="24"/>
        </w:rPr>
        <w:t xml:space="preserve">              </w:t>
      </w:r>
      <w:proofErr w:type="gramStart"/>
      <w:r w:rsidR="00E54B6F" w:rsidRPr="00E54B6F">
        <w:rPr>
          <w:rFonts w:ascii="Times New Roman" w:hAnsi="Times New Roman" w:cs="Times New Roman"/>
          <w:color w:val="365F91"/>
          <w:sz w:val="24"/>
          <w:szCs w:val="24"/>
        </w:rPr>
        <w:t>schedule</w:t>
      </w:r>
      <w:proofErr w:type="gramEnd"/>
      <w:r w:rsidR="00E54B6F" w:rsidRPr="00E54B6F">
        <w:rPr>
          <w:rFonts w:ascii="Times New Roman" w:hAnsi="Times New Roman" w:cs="Times New Roman"/>
          <w:color w:val="365F91"/>
          <w:sz w:val="24"/>
          <w:szCs w:val="24"/>
        </w:rPr>
        <w:t xml:space="preserve"> in</w:t>
      </w:r>
      <w:r w:rsidR="007436D9">
        <w:rPr>
          <w:rFonts w:ascii="Times New Roman" w:hAnsi="Times New Roman" w:cs="Times New Roman"/>
          <w:color w:val="365F91"/>
          <w:sz w:val="24"/>
          <w:szCs w:val="24"/>
        </w:rPr>
        <w:t xml:space="preserve"> </w:t>
      </w:r>
      <w:r w:rsidR="00E54B6F" w:rsidRPr="00E54B6F">
        <w:rPr>
          <w:rFonts w:ascii="Times New Roman" w:hAnsi="Times New Roman" w:cs="Times New Roman"/>
          <w:color w:val="365F91"/>
          <w:sz w:val="24"/>
          <w:szCs w:val="24"/>
        </w:rPr>
        <w:t>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C5395B">
      <w:pPr>
        <w:rPr>
          <w:rFonts w:ascii="Times New Roman" w:hAnsi="Times New Roman" w:cs="Times New Roman"/>
          <w:sz w:val="24"/>
          <w:szCs w:val="24"/>
        </w:rPr>
      </w:pPr>
    </w:p>
    <w:p w:rsidR="00D10463" w:rsidRPr="00E76824"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 xml:space="preserve">Each Purchasing-Selling Entity </w:t>
      </w:r>
      <w:r w:rsidR="00CA0BE9">
        <w:rPr>
          <w:sz w:val="24"/>
          <w:szCs w:val="24"/>
        </w:rPr>
        <w:t xml:space="preserve">and Load Serving Entity </w:t>
      </w:r>
      <w:r w:rsidRPr="00B92992">
        <w:rPr>
          <w:sz w:val="24"/>
          <w:szCs w:val="24"/>
        </w:rPr>
        <w:t xml:space="preserve">shall arrange for (self-provide or purchase) reactive resources </w:t>
      </w:r>
      <w:r w:rsidR="00915C14">
        <w:rPr>
          <w:sz w:val="24"/>
          <w:szCs w:val="24"/>
        </w:rPr>
        <w:t>-</w:t>
      </w:r>
      <w:r w:rsidR="00CA0BE9">
        <w:rPr>
          <w:sz w:val="24"/>
          <w:szCs w:val="24"/>
        </w:rPr>
        <w:t xml:space="preserve">which may include, but is not limited to, reactive generation scheduling; transmission line and reactive resource switching; and controllable load </w:t>
      </w:r>
      <w:r w:rsidRPr="00B92992">
        <w:rPr>
          <w:sz w:val="24"/>
          <w:szCs w:val="24"/>
        </w:rPr>
        <w:t>to satisfy its reactive requirements identified by its Transmission Service Provider.</w:t>
      </w:r>
      <w:r w:rsidR="00E76824">
        <w:rPr>
          <w:sz w:val="24"/>
          <w:szCs w:val="24"/>
        </w:rPr>
        <w:t xml:space="preserve"> </w:t>
      </w:r>
      <w:r w:rsidR="00D46A6D" w:rsidRPr="00D46A6D">
        <w:rPr>
          <w:color w:val="FF0000"/>
          <w:sz w:val="24"/>
          <w:szCs w:val="24"/>
        </w:rPr>
        <w:t>(Per Paragraph 81, this Requirement is to no longer be monitored, but removal of the Requirement should be noted in final Compliance Audit Reports)</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R5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B2239D">
        <w:rPr>
          <w:rFonts w:ascii="Times New Roman" w:hAnsi="Times New Roman" w:cs="Times New Roman"/>
          <w:color w:val="365F91"/>
          <w:sz w:val="24"/>
          <w:szCs w:val="24"/>
        </w:rPr>
        <w:t>Verify that the Purchasing</w:t>
      </w:r>
      <w:r w:rsidRPr="00B2239D">
        <w:rPr>
          <w:rFonts w:ascii="Times New Roman" w:hAnsi="Times New Roman" w:cs="Times New Roman"/>
          <w:color w:val="365F91"/>
          <w:sz w:val="24"/>
          <w:szCs w:val="24"/>
        </w:rPr>
        <w:noBreakHyphen/>
      </w:r>
      <w:proofErr w:type="spellStart"/>
      <w:r w:rsidRPr="00B2239D">
        <w:rPr>
          <w:rFonts w:ascii="Times New Roman" w:hAnsi="Times New Roman" w:cs="Times New Roman"/>
          <w:color w:val="365F91"/>
          <w:sz w:val="24"/>
          <w:szCs w:val="24"/>
        </w:rPr>
        <w:t>Selling</w:t>
      </w:r>
      <w:proofErr w:type="spellEnd"/>
      <w:r w:rsidRPr="00B2239D">
        <w:rPr>
          <w:rFonts w:ascii="Times New Roman" w:hAnsi="Times New Roman" w:cs="Times New Roman"/>
          <w:color w:val="365F91"/>
          <w:sz w:val="24"/>
          <w:szCs w:val="24"/>
        </w:rPr>
        <w:t xml:space="preserve"> Entity </w:t>
      </w:r>
      <w:r w:rsidR="00CA0BE9" w:rsidRPr="00B2239D">
        <w:rPr>
          <w:rFonts w:ascii="Times New Roman" w:hAnsi="Times New Roman" w:cs="Times New Roman"/>
          <w:color w:val="365F91"/>
          <w:sz w:val="24"/>
          <w:szCs w:val="24"/>
        </w:rPr>
        <w:t>and</w:t>
      </w:r>
      <w:r w:rsidR="003A4D12" w:rsidRPr="00B2239D">
        <w:rPr>
          <w:rFonts w:ascii="Times New Roman" w:hAnsi="Times New Roman" w:cs="Times New Roman"/>
          <w:color w:val="365F91"/>
          <w:sz w:val="24"/>
          <w:szCs w:val="24"/>
        </w:rPr>
        <w:t xml:space="preserve"> Load</w:t>
      </w:r>
      <w:r w:rsidR="00CA0BE9" w:rsidRPr="00B2239D">
        <w:rPr>
          <w:rFonts w:ascii="Times New Roman" w:hAnsi="Times New Roman" w:cs="Times New Roman"/>
          <w:color w:val="365F91"/>
          <w:sz w:val="24"/>
          <w:szCs w:val="24"/>
        </w:rPr>
        <w:t xml:space="preserve"> Serving Entity </w:t>
      </w:r>
      <w:r w:rsidRPr="00B2239D">
        <w:rPr>
          <w:rFonts w:ascii="Times New Roman" w:hAnsi="Times New Roman" w:cs="Times New Roman"/>
          <w:color w:val="365F91"/>
          <w:sz w:val="24"/>
          <w:szCs w:val="24"/>
        </w:rPr>
        <w:t xml:space="preserve">has arranged for </w:t>
      </w:r>
      <w:r w:rsidR="007436D9" w:rsidRPr="00B2239D">
        <w:rPr>
          <w:rFonts w:ascii="Times New Roman" w:hAnsi="Times New Roman" w:cs="Times New Roman"/>
          <w:color w:val="365F91"/>
          <w:sz w:val="24"/>
          <w:szCs w:val="24"/>
        </w:rPr>
        <w:t xml:space="preserve">(self-provide or purchase) </w:t>
      </w:r>
      <w:r w:rsidRPr="00B2239D">
        <w:rPr>
          <w:rFonts w:ascii="Times New Roman" w:hAnsi="Times New Roman" w:cs="Times New Roman"/>
          <w:color w:val="365F91"/>
          <w:sz w:val="24"/>
          <w:szCs w:val="24"/>
        </w:rPr>
        <w:t>reactive resources needed to satisfy its reactive requirements as identified by the Transmission Service Provider.</w:t>
      </w:r>
      <w:r w:rsidR="00B2239D" w:rsidRPr="00B2239D">
        <w:rPr>
          <w:rFonts w:ascii="Times New Roman" w:hAnsi="Times New Roman" w:cs="Times New Roman"/>
          <w:color w:val="FF0000"/>
          <w:sz w:val="24"/>
          <w:szCs w:val="24"/>
        </w:rPr>
        <w:t xml:space="preserve"> (Per Paragraph 81, this Requirement is to no longer be monitored, but removal of the Requirement should be noted in final Compliance Audit Reports)</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R6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 xml:space="preserv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CD51EA">
      <w:pPr>
        <w:ind w:left="1530" w:hanging="1169"/>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w:t>
      </w:r>
      <w:r w:rsidR="007436D9">
        <w:rPr>
          <w:rFonts w:ascii="Times New Roman" w:hAnsi="Times New Roman" w:cs="Times New Roman"/>
          <w:color w:val="365F91"/>
          <w:sz w:val="24"/>
          <w:szCs w:val="24"/>
        </w:rPr>
        <w:t>V</w:t>
      </w:r>
      <w:r w:rsidRPr="00E54B6F">
        <w:rPr>
          <w:rFonts w:ascii="Times New Roman" w:hAnsi="Times New Roman" w:cs="Times New Roman"/>
          <w:color w:val="365F91"/>
          <w:sz w:val="24"/>
          <w:szCs w:val="24"/>
        </w:rPr>
        <w:t>erify that the Transmission Operator knows the status of all</w:t>
      </w:r>
      <w:r w:rsidR="00CD51EA">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regulator</w:t>
      </w:r>
      <w:proofErr w:type="gramEnd"/>
      <w:r w:rsidRPr="00E54B6F">
        <w:rPr>
          <w:rFonts w:ascii="Times New Roman" w:hAnsi="Times New Roman" w:cs="Times New Roman"/>
          <w:color w:val="365F91"/>
          <w:sz w:val="24"/>
          <w:szCs w:val="24"/>
        </w:rPr>
        <w:t xml:space="preserve"> control, and if so, it directed the Generator Operator to maintain or change either </w:t>
      </w:r>
      <w:r w:rsidR="007436D9">
        <w:rPr>
          <w:rFonts w:ascii="Times New Roman" w:hAnsi="Times New Roman" w:cs="Times New Roman"/>
          <w:color w:val="365F91"/>
          <w:sz w:val="24"/>
          <w:szCs w:val="24"/>
        </w:rPr>
        <w:t>its</w:t>
      </w:r>
      <w:r w:rsidRPr="00E54B6F">
        <w:rPr>
          <w:rFonts w:ascii="Times New Roman" w:hAnsi="Times New Roman" w:cs="Times New Roman"/>
          <w:color w:val="365F91"/>
          <w:sz w:val="24"/>
          <w:szCs w:val="24"/>
        </w:rPr>
        <w:t xml:space="preserv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voltage</w:t>
      </w:r>
      <w:proofErr w:type="gramEnd"/>
      <w:r w:rsidRPr="00E54B6F">
        <w:rPr>
          <w:rFonts w:ascii="Times New Roman" w:hAnsi="Times New Roman" w:cs="Times New Roman"/>
          <w:color w:val="365F91"/>
          <w:sz w:val="24"/>
          <w:szCs w:val="24"/>
        </w:rPr>
        <w:t xml:space="preserv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D51EA" w:rsidRDefault="00CD51EA" w:rsidP="007A2E9E">
      <w:pPr>
        <w:pStyle w:val="Heading1"/>
        <w:rPr>
          <w:sz w:val="32"/>
          <w:szCs w:val="32"/>
        </w:rPr>
      </w:pPr>
    </w:p>
    <w:p w:rsidR="00D13309" w:rsidRPr="008B3775" w:rsidRDefault="00D13309" w:rsidP="007A2E9E">
      <w:pPr>
        <w:pStyle w:val="Heading1"/>
        <w:rPr>
          <w:sz w:val="32"/>
          <w:szCs w:val="32"/>
        </w:rPr>
      </w:pPr>
      <w:r w:rsidRPr="008B3775">
        <w:rPr>
          <w:sz w:val="32"/>
          <w:szCs w:val="32"/>
        </w:rPr>
        <w:lastRenderedPageBreak/>
        <w:t>R7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E4420" w:rsidRPr="00B92992" w:rsidRDefault="007E4420"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operate or direct the operation of capacitive and inductive reactive resources within its area </w:t>
      </w:r>
      <w:r w:rsidR="00915C14">
        <w:rPr>
          <w:sz w:val="24"/>
          <w:szCs w:val="24"/>
        </w:rPr>
        <w:t>-</w:t>
      </w:r>
      <w:r w:rsidR="00CA0BE9">
        <w:rPr>
          <w:sz w:val="24"/>
          <w:szCs w:val="24"/>
        </w:rPr>
        <w:t>which may include, but  is not limited to,</w:t>
      </w:r>
      <w:r w:rsidRPr="00B92992">
        <w:rPr>
          <w:sz w:val="24"/>
          <w:szCs w:val="24"/>
        </w:rPr>
        <w:t xml:space="preserve"> reactive generation scheduling; transmission line and reactive resource switching; </w:t>
      </w:r>
      <w:r w:rsidR="00CA0BE9">
        <w:rPr>
          <w:sz w:val="24"/>
          <w:szCs w:val="24"/>
        </w:rPr>
        <w:t xml:space="preserve">controllable </w:t>
      </w:r>
      <w:r w:rsidR="00796B39">
        <w:rPr>
          <w:sz w:val="24"/>
          <w:szCs w:val="24"/>
        </w:rPr>
        <w:t>load; and</w:t>
      </w:r>
      <w:r w:rsidR="00CA0BE9">
        <w:rPr>
          <w:sz w:val="24"/>
          <w:szCs w:val="24"/>
        </w:rPr>
        <w:t xml:space="preserve"> </w:t>
      </w:r>
      <w:r w:rsidRPr="00B92992">
        <w:rPr>
          <w:sz w:val="24"/>
          <w:szCs w:val="24"/>
        </w:rPr>
        <w:t>if necessary, load shedding – to maintain system and Interconnection voltages within established limits.</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CD51EA" w:rsidRDefault="00CD51EA" w:rsidP="007A2E9E">
      <w:pPr>
        <w:pStyle w:val="Heading1"/>
        <w:rPr>
          <w:sz w:val="32"/>
          <w:szCs w:val="32"/>
        </w:rPr>
      </w:pPr>
    </w:p>
    <w:p w:rsidR="00D13309" w:rsidRPr="008B3775" w:rsidRDefault="00D13309" w:rsidP="007A2E9E">
      <w:pPr>
        <w:pStyle w:val="Heading1"/>
        <w:rPr>
          <w:sz w:val="32"/>
          <w:szCs w:val="32"/>
        </w:rPr>
      </w:pPr>
      <w:r w:rsidRPr="008B3775">
        <w:rPr>
          <w:sz w:val="32"/>
          <w:szCs w:val="32"/>
        </w:rPr>
        <w:lastRenderedPageBreak/>
        <w:t>R8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7E4420"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w:t>
      </w:r>
      <w:r w:rsidRPr="007E4420">
        <w:rPr>
          <w:rFonts w:ascii="Times New Roman" w:hAnsi="Times New Roman" w:cs="Times New Roman"/>
          <w:color w:val="365F91"/>
          <w:sz w:val="24"/>
          <w:szCs w:val="24"/>
        </w:rPr>
        <w:t xml:space="preserve">maintain system and Interconnection voltages within established limits </w:t>
      </w:r>
      <w:r w:rsidR="00D46A6D" w:rsidRPr="00D46A6D">
        <w:rPr>
          <w:rFonts w:ascii="Times New Roman" w:hAnsi="Times New Roman" w:cs="Times New Roman"/>
          <w:color w:val="365F91"/>
          <w:sz w:val="24"/>
          <w:szCs w:val="24"/>
        </w:rPr>
        <w:t>which may include, but is not limited to</w:t>
      </w:r>
      <w:r w:rsidRPr="007E4420">
        <w:rPr>
          <w:rFonts w:ascii="Times New Roman" w:hAnsi="Times New Roman" w:cs="Times New Roman"/>
          <w:color w:val="365F91"/>
          <w:sz w:val="24"/>
          <w:szCs w:val="24"/>
        </w:rPr>
        <w:t>:</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CA0BE9" w:rsidRPr="00E54B6F" w:rsidRDefault="00CA0BE9"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Pr>
          <w:rFonts w:ascii="Times New Roman" w:hAnsi="Times New Roman" w:cs="Times New Roman"/>
          <w:color w:val="365F91"/>
          <w:sz w:val="24"/>
          <w:szCs w:val="24"/>
        </w:rPr>
        <w:t>_    Controllable load_</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008D7074">
        <w:rPr>
          <w:rFonts w:ascii="Times New Roman" w:hAnsi="Times New Roman" w:cs="Times New Roman"/>
          <w:bCs/>
          <w:color w:val="365F91"/>
          <w:sz w:val="24"/>
          <w:szCs w:val="24"/>
        </w:rPr>
        <w:t>if</w:t>
      </w:r>
      <w:r w:rsidR="007436D9" w:rsidRPr="008D7074">
        <w:rPr>
          <w:rFonts w:ascii="Times New Roman" w:hAnsi="Times New Roman" w:cs="Times New Roman"/>
          <w:bCs/>
          <w:color w:val="365F91"/>
          <w:sz w:val="24"/>
          <w:szCs w:val="24"/>
        </w:rPr>
        <w:t xml:space="preserve"> necessary</w:t>
      </w:r>
      <w:r w:rsidR="008D7074">
        <w:rPr>
          <w:rFonts w:ascii="Times New Roman" w:hAnsi="Times New Roman" w:cs="Times New Roman"/>
          <w:bCs/>
          <w:color w:val="365F91"/>
          <w:sz w:val="24"/>
          <w:szCs w:val="24"/>
        </w:rPr>
        <w:t>,</w:t>
      </w:r>
      <w:r w:rsidR="007436D9">
        <w:rPr>
          <w:rFonts w:ascii="Times New Roman" w:hAnsi="Times New Roman" w:cs="Times New Roman"/>
          <w:b/>
          <w:bCs/>
          <w:color w:val="365F91"/>
          <w:sz w:val="24"/>
          <w:szCs w:val="24"/>
        </w:rPr>
        <w:t xml:space="preserve"> </w:t>
      </w:r>
      <w:r w:rsidR="008D7074">
        <w:rPr>
          <w:rFonts w:ascii="Times New Roman" w:hAnsi="Times New Roman" w:cs="Times New Roman"/>
          <w:color w:val="365F91"/>
          <w:sz w:val="24"/>
          <w:szCs w:val="24"/>
        </w:rPr>
        <w:t>l</w:t>
      </w:r>
      <w:r w:rsidRPr="00E54B6F">
        <w:rPr>
          <w:rFonts w:ascii="Times New Roman" w:hAnsi="Times New Roman" w:cs="Times New Roman"/>
          <w:color w:val="365F91"/>
          <w:sz w:val="24"/>
          <w:szCs w:val="24"/>
        </w:rPr>
        <w:t>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E4420" w:rsidRPr="00B92992" w:rsidRDefault="007E4420"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w:t>
      </w:r>
      <w:r w:rsidR="00036910">
        <w:rPr>
          <w:sz w:val="24"/>
          <w:szCs w:val="24"/>
        </w:rPr>
        <w:t>-</w:t>
      </w:r>
      <w:r w:rsidRPr="00B92992">
        <w:rPr>
          <w:sz w:val="24"/>
          <w:szCs w:val="24"/>
        </w:rPr>
        <w:t xml:space="preserve"> </w:t>
      </w:r>
      <w:r w:rsidR="00036910">
        <w:rPr>
          <w:sz w:val="24"/>
          <w:szCs w:val="24"/>
        </w:rPr>
        <w:t xml:space="preserve">which may include, but is not limited to, reactive generation scheduling; transmission line and reactive resource switching; and controllable load </w:t>
      </w:r>
      <w:r w:rsidRPr="00B92992">
        <w:rPr>
          <w:sz w:val="24"/>
          <w:szCs w:val="24"/>
        </w:rPr>
        <w:t>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R9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w:t>
      </w:r>
      <w:r w:rsidR="00891391">
        <w:rPr>
          <w:rFonts w:ascii="Times New Roman" w:hAnsi="Times New Roman" w:cs="Times New Roman"/>
          <w:color w:val="365F91"/>
          <w:sz w:val="24"/>
          <w:szCs w:val="24"/>
        </w:rPr>
        <w:t xml:space="preserve">its </w:t>
      </w:r>
      <w:r w:rsidRPr="008729F2">
        <w:rPr>
          <w:rFonts w:ascii="Times New Roman" w:hAnsi="Times New Roman" w:cs="Times New Roman"/>
          <w:color w:val="365F91"/>
          <w:sz w:val="24"/>
          <w:szCs w:val="24"/>
        </w:rPr>
        <w:t>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w:t>
      </w:r>
      <w:r w:rsidR="00891391">
        <w:rPr>
          <w:rFonts w:ascii="Times New Roman" w:hAnsi="Times New Roman" w:cs="Times New Roman"/>
          <w:color w:val="365F91"/>
          <w:sz w:val="24"/>
          <w:szCs w:val="24"/>
        </w:rPr>
        <w:t xml:space="preserve">can </w:t>
      </w:r>
      <w:r w:rsidRPr="00E54B6F">
        <w:rPr>
          <w:rFonts w:ascii="Times New Roman" w:hAnsi="Times New Roman" w:cs="Times New Roman"/>
          <w:color w:val="365F91"/>
          <w:sz w:val="24"/>
          <w:szCs w:val="24"/>
        </w:rPr>
        <w:t>disperse and locate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lastRenderedPageBreak/>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R10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r w:rsidR="00891391">
        <w:rPr>
          <w:rFonts w:ascii="Times New Roman" w:hAnsi="Times New Roman" w:cs="Times New Roman"/>
          <w:color w:val="365F91"/>
          <w:sz w:val="24"/>
          <w:szCs w:val="24"/>
        </w:rPr>
        <w:t xml:space="preserve">  If yes: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proofErr w:type="gramStart"/>
      <w:r w:rsidRPr="00E54B6F">
        <w:rPr>
          <w:rFonts w:ascii="Times New Roman" w:hAnsi="Times New Roman" w:cs="Times New Roman"/>
          <w:color w:val="365F91"/>
          <w:sz w:val="24"/>
          <w:szCs w:val="24"/>
        </w:rPr>
        <w:t>transformer</w:t>
      </w:r>
      <w:proofErr w:type="gramEnd"/>
      <w:r w:rsidRPr="00E54B6F">
        <w:rPr>
          <w:rFonts w:ascii="Times New Roman" w:hAnsi="Times New Roman" w:cs="Times New Roman"/>
          <w:color w:val="365F91"/>
          <w:sz w:val="24"/>
          <w:szCs w:val="24"/>
        </w:rPr>
        <w:t xml:space="preserve">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EB53B8">
      <w:pPr>
        <w:rPr>
          <w:rFonts w:ascii="Times New Roman" w:hAnsi="Times New Roman" w:cs="Times New Roman"/>
          <w:b/>
          <w:bCs/>
          <w:sz w:val="24"/>
          <w:szCs w:val="24"/>
        </w:rPr>
      </w:pPr>
    </w:p>
    <w:p w:rsidR="007A2E9E" w:rsidRPr="00B92992" w:rsidRDefault="007A2E9E"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8D7074">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8D707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R12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w:t>
      </w:r>
      <w:r w:rsidR="00891391">
        <w:rPr>
          <w:rFonts w:ascii="Times New Roman" w:hAnsi="Times New Roman" w:cs="Times New Roman"/>
          <w:color w:val="365F91"/>
          <w:sz w:val="24"/>
          <w:szCs w:val="24"/>
        </w:rPr>
        <w:t>, including load reduction,</w:t>
      </w:r>
      <w:r w:rsidRPr="00E54B6F">
        <w:rPr>
          <w:rFonts w:ascii="Times New Roman" w:hAnsi="Times New Roman" w:cs="Times New Roman"/>
          <w:color w:val="365F91"/>
          <w:sz w:val="24"/>
          <w:szCs w:val="24"/>
        </w:rPr>
        <w:t xml:space="preserve">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spacing w:line="220" w:lineRule="exact"/>
        <w:jc w:val="right"/>
        <w:rPr>
          <w:rFonts w:ascii="Times New Roman" w:hAnsi="Times New Roman" w:cs="Times New Roman"/>
          <w:b/>
          <w:sz w:val="24"/>
          <w:szCs w:val="24"/>
        </w:rPr>
      </w:pPr>
    </w:p>
    <w:p w:rsidR="00E54B6F" w:rsidRPr="008B3775" w:rsidRDefault="00D10463" w:rsidP="007A2E9E">
      <w:pPr>
        <w:pStyle w:val="Heading1"/>
        <w:rPr>
          <w:sz w:val="48"/>
          <w:szCs w:val="48"/>
        </w:rPr>
      </w:pPr>
      <w:r w:rsidRPr="00B92992">
        <w:rPr>
          <w:b/>
          <w:bCs/>
          <w:color w:val="003366"/>
          <w:sz w:val="24"/>
          <w:szCs w:val="24"/>
        </w:rPr>
        <w:br w:type="page"/>
      </w:r>
      <w:r w:rsidR="00E54B6F" w:rsidRPr="008B3775">
        <w:rPr>
          <w:sz w:val="48"/>
          <w:szCs w:val="48"/>
        </w:rPr>
        <w:lastRenderedPageBreak/>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sidRPr="008B3775">
        <w:rPr>
          <w:sz w:val="48"/>
          <w:szCs w:val="48"/>
        </w:rPr>
        <w:t>Compliance Findings Summary</w:t>
      </w:r>
      <w:r>
        <w:t xml:space="preserve"> </w:t>
      </w:r>
      <w:r>
        <w:rPr>
          <w:sz w:val="20"/>
          <w:szCs w:val="20"/>
        </w:rPr>
        <w:t>(to be filled out by auditor)</w:t>
      </w:r>
    </w:p>
    <w:p w:rsidR="008729F2" w:rsidRPr="008729F2" w:rsidRDefault="008729F2" w:rsidP="008729F2"/>
    <w:tbl>
      <w:tblPr>
        <w:tblW w:w="0" w:type="auto"/>
        <w:tblLook w:val="00A0"/>
      </w:tblPr>
      <w:tblGrid>
        <w:gridCol w:w="692"/>
        <w:gridCol w:w="536"/>
        <w:gridCol w:w="572"/>
        <w:gridCol w:w="737"/>
        <w:gridCol w:w="593"/>
        <w:gridCol w:w="7886"/>
      </w:tblGrid>
      <w:tr w:rsidR="00D13309" w:rsidTr="00D13309">
        <w:tc>
          <w:tcPr>
            <w:tcW w:w="692"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13309" w:rsidRDefault="00036910" w:rsidP="000369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0" w:name="RSAW"/>
      <w:bookmarkEnd w:id="0"/>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CD51EA" w:rsidRDefault="00F74CCA" w:rsidP="009316B6">
      <w:pPr>
        <w:widowControl w:val="0"/>
        <w:spacing w:line="220" w:lineRule="exact"/>
        <w:jc w:val="right"/>
        <w:rPr>
          <w:rFonts w:ascii="Times New Roman" w:hAnsi="Times New Roman" w:cs="Times New Roman"/>
          <w:b/>
          <w:sz w:val="24"/>
          <w:szCs w:val="24"/>
        </w:rPr>
      </w:pPr>
      <w:r w:rsidRPr="00CD51EA">
        <w:rPr>
          <w:rFonts w:ascii="Times New Roman" w:hAnsi="Times New Roman" w:cs="Times New Roman"/>
          <w:b/>
          <w:sz w:val="24"/>
          <w:szCs w:val="24"/>
        </w:rPr>
        <w:lastRenderedPageBreak/>
        <w:t>Excerpts from FERC Orders -- For Reference Purposes Only</w:t>
      </w:r>
    </w:p>
    <w:p w:rsidR="00F74CCA" w:rsidRPr="00CD51EA" w:rsidRDefault="00F74CCA" w:rsidP="00F74CCA">
      <w:pPr>
        <w:pStyle w:val="Header"/>
        <w:jc w:val="right"/>
        <w:rPr>
          <w:rFonts w:ascii="Times New Roman" w:hAnsi="Times New Roman" w:cs="Times New Roman"/>
          <w:b/>
          <w:sz w:val="24"/>
          <w:szCs w:val="24"/>
        </w:rPr>
      </w:pPr>
      <w:r w:rsidRPr="00CD51EA">
        <w:rPr>
          <w:rFonts w:ascii="Times New Roman" w:hAnsi="Times New Roman" w:cs="Times New Roman"/>
          <w:b/>
          <w:sz w:val="24"/>
          <w:szCs w:val="24"/>
        </w:rPr>
        <w:t xml:space="preserve">Updated Through </w:t>
      </w:r>
      <w:r w:rsidR="003667C3" w:rsidRPr="00CD51EA">
        <w:rPr>
          <w:rFonts w:ascii="Times New Roman" w:hAnsi="Times New Roman" w:cs="Times New Roman"/>
          <w:b/>
          <w:sz w:val="24"/>
          <w:szCs w:val="24"/>
        </w:rPr>
        <w:t>October 11, 2011</w:t>
      </w:r>
    </w:p>
    <w:p w:rsidR="00F74CCA" w:rsidRPr="00CD51EA" w:rsidRDefault="00F74CCA" w:rsidP="00F74CCA">
      <w:pPr>
        <w:pStyle w:val="Header"/>
        <w:jc w:val="right"/>
        <w:rPr>
          <w:rFonts w:ascii="Times New Roman" w:hAnsi="Times New Roman" w:cs="Times New Roman"/>
          <w:b/>
          <w:sz w:val="24"/>
          <w:szCs w:val="24"/>
        </w:rPr>
      </w:pPr>
      <w:r w:rsidRPr="00CD51EA">
        <w:rPr>
          <w:rFonts w:ascii="Times New Roman" w:hAnsi="Times New Roman" w:cs="Times New Roman"/>
          <w:b/>
          <w:sz w:val="24"/>
          <w:szCs w:val="24"/>
        </w:rPr>
        <w:t>VAR-001-</w:t>
      </w:r>
      <w:r w:rsidR="003667C3" w:rsidRPr="00CD51EA">
        <w:rPr>
          <w:rFonts w:ascii="Times New Roman" w:hAnsi="Times New Roman" w:cs="Times New Roman"/>
          <w:b/>
          <w:sz w:val="24"/>
          <w:szCs w:val="24"/>
        </w:rPr>
        <w:t>2</w:t>
      </w:r>
    </w:p>
    <w:p w:rsidR="00F74CCA" w:rsidRPr="00CD51EA" w:rsidRDefault="00F74CCA" w:rsidP="00A93C23">
      <w:pPr>
        <w:rPr>
          <w:rFonts w:ascii="Times New Roman" w:hAnsi="Times New Roman" w:cs="Times New Roman"/>
          <w:b/>
          <w:sz w:val="24"/>
          <w:szCs w:val="24"/>
        </w:rPr>
      </w:pPr>
    </w:p>
    <w:p w:rsidR="00A93C23" w:rsidRPr="00CD51EA" w:rsidRDefault="00A93C23" w:rsidP="00A93C23">
      <w:pPr>
        <w:rPr>
          <w:rFonts w:ascii="Times New Roman" w:hAnsi="Times New Roman" w:cs="Times New Roman"/>
          <w:b/>
          <w:sz w:val="24"/>
          <w:szCs w:val="24"/>
        </w:rPr>
      </w:pPr>
      <w:r w:rsidRPr="00CD51EA">
        <w:rPr>
          <w:rFonts w:ascii="Times New Roman" w:hAnsi="Times New Roman" w:cs="Times New Roman"/>
          <w:b/>
          <w:sz w:val="24"/>
          <w:szCs w:val="24"/>
        </w:rPr>
        <w:t xml:space="preserve">Order </w:t>
      </w:r>
      <w:r w:rsidR="00955029" w:rsidRPr="00CD51EA">
        <w:rPr>
          <w:rFonts w:ascii="Times New Roman" w:hAnsi="Times New Roman" w:cs="Times New Roman"/>
          <w:b/>
          <w:sz w:val="24"/>
          <w:szCs w:val="24"/>
        </w:rPr>
        <w:t xml:space="preserve">No. </w:t>
      </w:r>
      <w:r w:rsidRPr="00CD51EA">
        <w:rPr>
          <w:rFonts w:ascii="Times New Roman" w:hAnsi="Times New Roman" w:cs="Times New Roman"/>
          <w:b/>
          <w:sz w:val="24"/>
          <w:szCs w:val="24"/>
        </w:rPr>
        <w:t>693</w:t>
      </w:r>
    </w:p>
    <w:p w:rsidR="00A93C23" w:rsidRPr="00CD51EA" w:rsidRDefault="00A93C23" w:rsidP="00A93C23">
      <w:pPr>
        <w:ind w:left="720"/>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proofErr w:type="gramStart"/>
      <w:r w:rsidRPr="00CD51EA">
        <w:rPr>
          <w:rFonts w:ascii="Times New Roman" w:hAnsi="Times New Roman" w:cs="Times New Roman"/>
          <w:sz w:val="24"/>
          <w:szCs w:val="24"/>
        </w:rPr>
        <w:t>P 1846.</w:t>
      </w:r>
      <w:proofErr w:type="gramEnd"/>
      <w:r w:rsidRPr="00CD51EA">
        <w:rPr>
          <w:rFonts w:ascii="Times New Roman" w:hAnsi="Times New Roman" w:cs="Times New Roman"/>
          <w:sz w:val="24"/>
          <w:szCs w:val="24"/>
        </w:rPr>
        <w:t xml:space="preserve">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CD51EA" w:rsidRDefault="00A93C23" w:rsidP="00A93C23">
      <w:pPr>
        <w:ind w:left="720"/>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proofErr w:type="gramStart"/>
      <w:r w:rsidRPr="00CD51EA">
        <w:rPr>
          <w:rFonts w:ascii="Times New Roman" w:hAnsi="Times New Roman" w:cs="Times New Roman"/>
          <w:sz w:val="24"/>
          <w:szCs w:val="24"/>
        </w:rPr>
        <w:t>P 1847.</w:t>
      </w:r>
      <w:proofErr w:type="gramEnd"/>
      <w:r w:rsidRPr="00CD51EA">
        <w:rPr>
          <w:rFonts w:ascii="Times New Roman" w:hAnsi="Times New Roman" w:cs="Times New Roman"/>
          <w:sz w:val="24"/>
          <w:szCs w:val="24"/>
        </w:rPr>
        <w:t xml:space="preserve">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CD51EA" w:rsidRDefault="00A93C23" w:rsidP="00A93C23">
      <w:pPr>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proofErr w:type="gramStart"/>
      <w:r w:rsidRPr="00CD51EA">
        <w:rPr>
          <w:rFonts w:ascii="Times New Roman" w:hAnsi="Times New Roman" w:cs="Times New Roman"/>
          <w:sz w:val="24"/>
          <w:szCs w:val="24"/>
        </w:rPr>
        <w:t>P 1854.</w:t>
      </w:r>
      <w:proofErr w:type="gramEnd"/>
      <w:r w:rsidRPr="00CD51EA">
        <w:rPr>
          <w:rFonts w:ascii="Times New Roman" w:hAnsi="Times New Roman" w:cs="Times New Roman"/>
          <w:sz w:val="24"/>
          <w:szCs w:val="24"/>
        </w:rPr>
        <w:t xml:space="preserve">  In a complex power grid such as the one that exists in North America,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CD51EA" w:rsidRDefault="00A93C23" w:rsidP="00A93C23">
      <w:pPr>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proofErr w:type="gramStart"/>
      <w:r w:rsidRPr="00CD51EA">
        <w:rPr>
          <w:rFonts w:ascii="Times New Roman" w:hAnsi="Times New Roman" w:cs="Times New Roman"/>
          <w:sz w:val="24"/>
          <w:szCs w:val="24"/>
        </w:rPr>
        <w:t>P 1857.</w:t>
      </w:r>
      <w:proofErr w:type="gramEnd"/>
      <w:r w:rsidRPr="00CD51EA">
        <w:rPr>
          <w:rFonts w:ascii="Times New Roman" w:hAnsi="Times New Roman" w:cs="Times New Roman"/>
          <w:sz w:val="24"/>
          <w:szCs w:val="24"/>
        </w:rPr>
        <w:t xml:space="preserve">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CD51EA" w:rsidRDefault="00A93C23" w:rsidP="00A93C23">
      <w:pPr>
        <w:rPr>
          <w:rFonts w:ascii="Times New Roman" w:hAnsi="Times New Roman" w:cs="Times New Roman"/>
          <w:sz w:val="24"/>
          <w:szCs w:val="24"/>
        </w:rPr>
      </w:pPr>
    </w:p>
    <w:p w:rsidR="00036910" w:rsidRPr="00CD51EA" w:rsidRDefault="00036910" w:rsidP="00036910">
      <w:pPr>
        <w:rPr>
          <w:rFonts w:ascii="Times New Roman" w:hAnsi="Times New Roman" w:cs="Times New Roman"/>
          <w:sz w:val="24"/>
          <w:szCs w:val="24"/>
        </w:rPr>
      </w:pPr>
      <w:r w:rsidRPr="00CD51EA">
        <w:rPr>
          <w:rFonts w:ascii="Times New Roman" w:hAnsi="Times New Roman" w:cs="Times New Roman"/>
          <w:sz w:val="24"/>
          <w:szCs w:val="24"/>
        </w:rPr>
        <w:t xml:space="preserve">P1858. While the Commission recognizes the point made by TAPS, that </w:t>
      </w:r>
      <w:proofErr w:type="spellStart"/>
      <w:r w:rsidRPr="00CD51EA">
        <w:rPr>
          <w:rFonts w:ascii="Times New Roman" w:hAnsi="Times New Roman" w:cs="Times New Roman"/>
          <w:sz w:val="24"/>
          <w:szCs w:val="24"/>
        </w:rPr>
        <w:t>purchasingselling</w:t>
      </w:r>
      <w:proofErr w:type="spellEnd"/>
      <w:r w:rsidR="00CD51EA">
        <w:rPr>
          <w:rFonts w:ascii="Times New Roman" w:hAnsi="Times New Roman" w:cs="Times New Roman"/>
          <w:sz w:val="24"/>
          <w:szCs w:val="24"/>
        </w:rPr>
        <w:t xml:space="preserve"> </w:t>
      </w:r>
      <w:r w:rsidRPr="00CD51EA">
        <w:rPr>
          <w:rFonts w:ascii="Times New Roman" w:hAnsi="Times New Roman" w:cs="Times New Roman"/>
          <w:sz w:val="24"/>
          <w:szCs w:val="24"/>
        </w:rPr>
        <w:t>entities are required to satisfy any reactive requirements through purchasing</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Ancillary Service #2 under the OATT or self-supply, the Commission disagrees that</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adding LSEs to this Reliability Standard serves no reliability purpose. As discussed in</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the NOPR and the Staff Preliminary Assessment, LSEs are responsible for significantly</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more load than purchasing-selling entities.</w:t>
      </w:r>
      <w:r w:rsidRPr="00CD51EA">
        <w:rPr>
          <w:rFonts w:ascii="Times New Roman" w:hAnsi="Times New Roman" w:cs="Times New Roman"/>
          <w:b/>
          <w:bCs/>
          <w:sz w:val="24"/>
          <w:szCs w:val="24"/>
        </w:rPr>
        <w:t xml:space="preserve">471 </w:t>
      </w:r>
      <w:r w:rsidRPr="00CD51EA">
        <w:rPr>
          <w:rFonts w:ascii="Times New Roman" w:hAnsi="Times New Roman" w:cs="Times New Roman"/>
          <w:sz w:val="24"/>
          <w:szCs w:val="24"/>
        </w:rPr>
        <w:t>The reactive power requirements can have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significant impact on the reliability of the system and LSEs should be accountable for</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that impact in the same ways that purchasing-selling entities are accountable, by providing reactive resources, and also by providing information to transmission operators</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to allow transmission operators to accurately study the reactive power needs for both the</w:t>
      </w:r>
    </w:p>
    <w:p w:rsidR="00A93C23" w:rsidRPr="00CD51EA" w:rsidRDefault="00036910" w:rsidP="00036910">
      <w:pPr>
        <w:rPr>
          <w:rFonts w:ascii="Times New Roman" w:hAnsi="Times New Roman" w:cs="Times New Roman"/>
          <w:sz w:val="24"/>
          <w:szCs w:val="24"/>
        </w:rPr>
      </w:pPr>
      <w:r w:rsidRPr="00CD51EA">
        <w:rPr>
          <w:rFonts w:ascii="Times New Roman" w:hAnsi="Times New Roman" w:cs="Times New Roman"/>
          <w:sz w:val="24"/>
          <w:szCs w:val="24"/>
        </w:rPr>
        <w:t>LSEs’ and purchasing-selling entities’ load characteristics.</w:t>
      </w:r>
      <w:r w:rsidRPr="00CD51EA">
        <w:rPr>
          <w:rFonts w:ascii="Times New Roman" w:hAnsi="Times New Roman" w:cs="Times New Roman"/>
          <w:b/>
          <w:bCs/>
          <w:sz w:val="24"/>
          <w:szCs w:val="24"/>
        </w:rPr>
        <w:t xml:space="preserve">472 </w:t>
      </w:r>
      <w:r w:rsidRPr="00CD51EA">
        <w:rPr>
          <w:rFonts w:ascii="Times New Roman" w:hAnsi="Times New Roman" w:cs="Times New Roman"/>
          <w:sz w:val="24"/>
          <w:szCs w:val="24"/>
        </w:rPr>
        <w:t>The Commission</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recognizes that all transmission customers of public utilities are required to purchase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 xml:space="preserve">Ancillary Service No. 2 under the OATT or self-supply, </w:t>
      </w:r>
      <w:r w:rsidRPr="00CD51EA">
        <w:rPr>
          <w:rFonts w:ascii="Times New Roman" w:hAnsi="Times New Roman" w:cs="Times New Roman"/>
          <w:sz w:val="24"/>
          <w:szCs w:val="24"/>
        </w:rPr>
        <w:lastRenderedPageBreak/>
        <w:t>but the OATT does not require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them to provide information to transmission operators needed to accurately study reactive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power needs. The Commission directs the ERO to address the reactive power</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requirements for LSEs on a comparable basis with purchasing-selling entities.</w:t>
      </w:r>
      <w:r w:rsidR="00CD51EA">
        <w:rPr>
          <w:rFonts w:ascii="Times New Roman" w:hAnsi="Times New Roman" w:cs="Times New Roman"/>
          <w:sz w:val="24"/>
          <w:szCs w:val="24"/>
        </w:rPr>
        <w:t xml:space="preserve"> </w:t>
      </w:r>
      <w:proofErr w:type="gramStart"/>
      <w:r w:rsidR="00915C14" w:rsidRPr="00CD51EA">
        <w:rPr>
          <w:rFonts w:ascii="Times New Roman" w:hAnsi="Times New Roman" w:cs="Times New Roman"/>
          <w:sz w:val="24"/>
          <w:szCs w:val="24"/>
        </w:rPr>
        <w:t>P 1879.</w:t>
      </w:r>
      <w:proofErr w:type="gramEnd"/>
      <w:r w:rsidR="00915C14" w:rsidRPr="00CD51EA">
        <w:rPr>
          <w:rFonts w:ascii="Times New Roman" w:hAnsi="Times New Roman" w:cs="Times New Roman"/>
          <w:sz w:val="24"/>
          <w:szCs w:val="24"/>
        </w:rPr>
        <w:t xml:space="preserve"> The Commission noted in the NOPR that in many cases, load response and</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demand-side investment can reduce the need for reactive power capability in the</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system.</w:t>
      </w:r>
      <w:r w:rsidR="00915C14" w:rsidRPr="00CD51EA">
        <w:rPr>
          <w:rFonts w:ascii="Times New Roman" w:hAnsi="Times New Roman" w:cs="Times New Roman"/>
          <w:b/>
          <w:bCs/>
          <w:sz w:val="24"/>
          <w:szCs w:val="24"/>
        </w:rPr>
        <w:t xml:space="preserve">476 </w:t>
      </w:r>
      <w:r w:rsidR="00915C14" w:rsidRPr="00CD51EA">
        <w:rPr>
          <w:rFonts w:ascii="Times New Roman" w:hAnsi="Times New Roman" w:cs="Times New Roman"/>
          <w:sz w:val="24"/>
          <w:szCs w:val="24"/>
        </w:rPr>
        <w:t>Based on this assertion, the Commission proposed to direct the ERO to</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include controllable load among the reactive resources to satisfy reactive requirements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for incorporation into Reliability Standard VAR-001-1. While we affirm this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 xml:space="preserve">requirement, we expect the ERO to consider the comments of </w:t>
      </w:r>
      <w:proofErr w:type="spellStart"/>
      <w:r w:rsidR="00915C14" w:rsidRPr="00CD51EA">
        <w:rPr>
          <w:rFonts w:ascii="Times New Roman" w:hAnsi="Times New Roman" w:cs="Times New Roman"/>
          <w:sz w:val="24"/>
          <w:szCs w:val="24"/>
        </w:rPr>
        <w:t>SoCal</w:t>
      </w:r>
      <w:proofErr w:type="spellEnd"/>
      <w:r w:rsidR="00915C14" w:rsidRPr="00CD51EA">
        <w:rPr>
          <w:rFonts w:ascii="Times New Roman" w:hAnsi="Times New Roman" w:cs="Times New Roman"/>
          <w:sz w:val="24"/>
          <w:szCs w:val="24"/>
        </w:rPr>
        <w:t xml:space="preserve"> Edison with regard</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to reliability and SMA in its process for developing the technical capability requirements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 xml:space="preserve">for using controllable load as a reactive resource in the applicable Reliability </w:t>
      </w:r>
      <w:proofErr w:type="spellStart"/>
      <w:r w:rsidR="00915C14" w:rsidRPr="00CD51EA">
        <w:rPr>
          <w:rFonts w:ascii="Times New Roman" w:hAnsi="Times New Roman" w:cs="Times New Roman"/>
          <w:sz w:val="24"/>
          <w:szCs w:val="24"/>
        </w:rPr>
        <w:t>Standards.</w:t>
      </w:r>
      <w:r w:rsidR="00A93C23" w:rsidRPr="00CD51EA">
        <w:rPr>
          <w:rFonts w:ascii="Times New Roman" w:hAnsi="Times New Roman" w:cs="Times New Roman"/>
          <w:sz w:val="24"/>
          <w:szCs w:val="24"/>
        </w:rPr>
        <w:t>P</w:t>
      </w:r>
      <w:proofErr w:type="spellEnd"/>
      <w:r w:rsidR="00A93C23" w:rsidRPr="00CD51EA">
        <w:rPr>
          <w:rFonts w:ascii="Times New Roman" w:hAnsi="Times New Roman" w:cs="Times New Roman"/>
          <w:sz w:val="24"/>
          <w:szCs w:val="24"/>
        </w:rPr>
        <w:t xml:space="preserve"> 1880</w:t>
      </w:r>
      <w:r w:rsidR="00A03275" w:rsidRPr="00CD51EA">
        <w:rPr>
          <w:rFonts w:ascii="Times New Roman" w:hAnsi="Times New Roman" w:cs="Times New Roman"/>
          <w:sz w:val="24"/>
          <w:szCs w:val="24"/>
        </w:rPr>
        <w:t>.</w:t>
      </w:r>
      <w:r w:rsidR="00A93C23" w:rsidRPr="00CD51EA">
        <w:rPr>
          <w:rFonts w:ascii="Times New Roman" w:hAnsi="Times New Roman" w:cs="Times New Roman"/>
          <w:sz w:val="24"/>
          <w:szCs w:val="24"/>
        </w:rPr>
        <w:t xml:space="preserve">  Accordingly, the Commission approves Reliability Standard VAR-001-1 as mandatory and enforceable…</w:t>
      </w:r>
      <w:r w:rsidR="00A03275" w:rsidRPr="00CD51EA">
        <w:rPr>
          <w:rFonts w:ascii="Times New Roman" w:hAnsi="Times New Roman" w:cs="Times New Roman"/>
          <w:sz w:val="24"/>
          <w:szCs w:val="24"/>
        </w:rPr>
        <w:t>.</w:t>
      </w:r>
    </w:p>
    <w:p w:rsidR="003667C3" w:rsidRPr="00CD51EA" w:rsidRDefault="003667C3" w:rsidP="00036910">
      <w:pPr>
        <w:rPr>
          <w:rFonts w:ascii="Times New Roman" w:hAnsi="Times New Roman" w:cs="Times New Roman"/>
          <w:sz w:val="24"/>
          <w:szCs w:val="24"/>
        </w:rPr>
      </w:pPr>
    </w:p>
    <w:p w:rsidR="003667C3" w:rsidRPr="00CD51EA" w:rsidRDefault="00F54252" w:rsidP="00036910">
      <w:pPr>
        <w:rPr>
          <w:rFonts w:ascii="Times New Roman" w:hAnsi="Times New Roman" w:cs="Times New Roman"/>
          <w:b/>
          <w:sz w:val="24"/>
          <w:szCs w:val="24"/>
        </w:rPr>
      </w:pPr>
      <w:r w:rsidRPr="00CD51EA">
        <w:rPr>
          <w:rFonts w:ascii="Times New Roman" w:hAnsi="Times New Roman" w:cs="Times New Roman"/>
          <w:b/>
          <w:sz w:val="24"/>
          <w:szCs w:val="24"/>
        </w:rPr>
        <w:t xml:space="preserve">Order No. 724, 18 CFR Part 40 Electric Reliability Organization Interpretations of Specific Requirements of Frequency Response and Bias and Voltage and Reactive Control Reliability Standards, </w:t>
      </w:r>
      <w:r w:rsidR="003667C3" w:rsidRPr="00CD51EA">
        <w:rPr>
          <w:rFonts w:ascii="Times New Roman" w:hAnsi="Times New Roman" w:cs="Times New Roman"/>
          <w:b/>
          <w:sz w:val="24"/>
          <w:szCs w:val="24"/>
        </w:rPr>
        <w:t xml:space="preserve">127 FERC ¶ </w:t>
      </w:r>
      <w:r w:rsidRPr="00CD51EA">
        <w:rPr>
          <w:rFonts w:ascii="Times New Roman" w:hAnsi="Times New Roman" w:cs="Times New Roman"/>
          <w:b/>
          <w:sz w:val="24"/>
          <w:szCs w:val="24"/>
        </w:rPr>
        <w:t>61,158 (May 21, 2009)</w:t>
      </w:r>
    </w:p>
    <w:p w:rsidR="003667C3" w:rsidRPr="00CD51EA" w:rsidRDefault="003667C3" w:rsidP="00036910">
      <w:pPr>
        <w:rPr>
          <w:rFonts w:ascii="Times New Roman" w:hAnsi="Times New Roman" w:cs="Times New Roman"/>
          <w:b/>
          <w:sz w:val="24"/>
          <w:szCs w:val="24"/>
        </w:rPr>
      </w:pPr>
    </w:p>
    <w:p w:rsidR="003667C3" w:rsidRPr="00CD51EA" w:rsidRDefault="003667C3" w:rsidP="00036910">
      <w:pPr>
        <w:rPr>
          <w:rFonts w:ascii="Times New Roman" w:hAnsi="Times New Roman" w:cs="Times New Roman"/>
          <w:sz w:val="24"/>
          <w:szCs w:val="24"/>
        </w:rPr>
      </w:pPr>
      <w:r w:rsidRPr="00CD51EA">
        <w:rPr>
          <w:rFonts w:ascii="Times New Roman" w:hAnsi="Times New Roman" w:cs="Times New Roman"/>
          <w:sz w:val="24"/>
          <w:szCs w:val="24"/>
        </w:rPr>
        <w:t>1. Pursuant to section 215 of the Federal Power Act (FPA), the Commission hereby approves the interpretation proposed by the North American Electric Reliability Corporation (NERC) of Commission-approved Reliability Standard BAL-003-0, Frequency Response and Bias, but remands NERC's proposed interpretation of Reliability Standard VAR-001-1, Voltage and Reactive Control, for additional clarification. n1</w:t>
      </w:r>
    </w:p>
    <w:p w:rsidR="003667C3" w:rsidRPr="00CD51EA" w:rsidRDefault="003667C3" w:rsidP="00036910">
      <w:pPr>
        <w:rPr>
          <w:rFonts w:ascii="Times New Roman" w:hAnsi="Times New Roman" w:cs="Times New Roman"/>
          <w:sz w:val="24"/>
          <w:szCs w:val="24"/>
        </w:rPr>
      </w:pPr>
    </w:p>
    <w:p w:rsidR="003667C3" w:rsidRPr="00CD51EA" w:rsidRDefault="003667C3" w:rsidP="00036910">
      <w:pPr>
        <w:rPr>
          <w:rFonts w:ascii="Times New Roman" w:hAnsi="Times New Roman" w:cs="Times New Roman"/>
          <w:sz w:val="24"/>
          <w:szCs w:val="24"/>
        </w:rPr>
      </w:pPr>
      <w:r w:rsidRPr="00CD51EA">
        <w:rPr>
          <w:rFonts w:ascii="Times New Roman" w:hAnsi="Times New Roman" w:cs="Times New Roman"/>
          <w:sz w:val="24"/>
          <w:szCs w:val="24"/>
        </w:rPr>
        <w:t>6. For BAL-003-0, the Electric Reliability Council of Texas (ERCOT) requested clarification that the provision in BAL-003-0, Requirement R2, permitting use of a variable bias setting, did not conflict with BAL-003-0, Requirement R5, which states that the frequency bias setting for Balancing Authorities serving native load should be at least one percent of yearly peak demand. For VAR-001-1, Dynegy, Inc. (Dynegy) requested clarification whether there are implicit requirements that the voltage schedule and associated tolerance band to be provided by the transmission operator under Requirement R4 be technically based, reasonable and practical for a generator to maintain.</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16. VAR-001-1, Requirement R4 directs each transmission operator to provide each generator with a voltage and reactive power output schedule, within a tolerance band. A second Reliability Standard, VAR-002-1, Requirement R2, requires that each generator must meet the schedule (typically via automatic control) or provide an explanation why it cannot do so. The Requirements state:</w:t>
      </w:r>
    </w:p>
    <w:p w:rsidR="00EA6610" w:rsidRPr="00CD51EA" w:rsidRDefault="00EA6610"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VAR-001-1 - Voltage and Reactive Control.</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t>Requirement R4.</w:t>
      </w:r>
      <w:proofErr w:type="gramEnd"/>
      <w:r w:rsidRPr="00CD51EA">
        <w:rPr>
          <w:rFonts w:ascii="Times New Roman" w:hAnsi="Times New Roman" w:cs="Times New Roman"/>
          <w:sz w:val="24"/>
          <w:szCs w:val="24"/>
        </w:rPr>
        <w:t xml:space="preserve"> Each Transmission Operator shall specify a voltage or Reactive Power schedule n19 at the interconnection between the generator facility and the Transmission Owner's facilities to be maintained by each generator. The Transmission Operator shall provide the voltage or Reactive Power schedule to the associated Generator Operator and direct the Generator Operator to comply with the schedule in automatic voltage control mode (AVR [automatic voltage regulat</w:t>
      </w:r>
      <w:r w:rsidR="00EA6610" w:rsidRPr="00CD51EA">
        <w:rPr>
          <w:rFonts w:ascii="Times New Roman" w:hAnsi="Times New Roman" w:cs="Times New Roman"/>
          <w:sz w:val="24"/>
          <w:szCs w:val="24"/>
        </w:rPr>
        <w:t>ion] in service and controlling</w:t>
      </w:r>
      <w:r w:rsidRPr="00CD51EA">
        <w:rPr>
          <w:rFonts w:ascii="Times New Roman" w:hAnsi="Times New Roman" w:cs="Times New Roman"/>
          <w:sz w:val="24"/>
          <w:szCs w:val="24"/>
        </w:rPr>
        <w:t xml:space="preserve"> voltage). . .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VAR-002-1 - Generator Operation for Maintaining Network Voltage Schedules.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lastRenderedPageBreak/>
        <w:t>Requirement R2.</w:t>
      </w:r>
      <w:proofErr w:type="gramEnd"/>
      <w:r w:rsidRPr="00CD51EA">
        <w:rPr>
          <w:rFonts w:ascii="Times New Roman" w:hAnsi="Times New Roman" w:cs="Times New Roman"/>
          <w:sz w:val="24"/>
          <w:szCs w:val="24"/>
        </w:rPr>
        <w:t xml:space="preserve"> Unless exempted by the Transmission Operator, each Generator Operator shall maintain the generator voltage or Reactive Power output (within applicable Facility Ratings) n20 as directed by the Transmission Operator.</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R2.1. When a generator's automatic voltage regulator is out of service, the Generator Operator shall use an alternative method to control the generator voltage and reactive output to meet the voltage or Reactive Power schedule directed by the Transmission Operator.</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R2.2. When directed to modify </w:t>
      </w:r>
      <w:proofErr w:type="gramStart"/>
      <w:r w:rsidRPr="00CD51EA">
        <w:rPr>
          <w:rFonts w:ascii="Times New Roman" w:hAnsi="Times New Roman" w:cs="Times New Roman"/>
          <w:sz w:val="24"/>
          <w:szCs w:val="24"/>
        </w:rPr>
        <w:t>voltage,</w:t>
      </w:r>
      <w:proofErr w:type="gramEnd"/>
      <w:r w:rsidRPr="00CD51EA">
        <w:rPr>
          <w:rFonts w:ascii="Times New Roman" w:hAnsi="Times New Roman" w:cs="Times New Roman"/>
          <w:sz w:val="24"/>
          <w:szCs w:val="24"/>
        </w:rPr>
        <w:t xml:space="preserve"> the Generator Operator shall comply or provide an explanation of why the schedule cannot be met.</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17. Dynegy requested clarification whether there are implicit requirements that the voltage schedule and associated tolerance band to be provided by the transmission operator under VAR-001-1, Requirement R4 be technically based, reasonable and practical for a generator to maintain. In response, NERC proposed the following interpretation:</w:t>
      </w:r>
    </w:p>
    <w:p w:rsidR="00EA6610" w:rsidRPr="00CD51EA" w:rsidRDefault="00EA6610"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NERC Reliability Standard VAR-001-1 is only comprised of stated requirements and associated compliance elements. The requirements have been developed in a fair and open process, balloted and accepted by FERC for compliance review. Any "implicit" requirement would be based on subjective interpretation and viewpoint and therefore cannot be objectively measured and enforced. Any attempt at "interpreting an implicit requirement" would effectively be adding a new requirement to the standard.</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This can only be done through the [Standards Authorization Request] process.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Since there are no requirements in VAR-001-1 to issue a "technically based, reasonable and practical to maintain voltage or reactive power schedule and associated tolerance band," there are no measures or associated compliance elements in the standard.</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The standard only requires that "Each Transmission Operator shall specify a voltage or Reactive Power schedule ...." and that "The Transmission Operator shall provide the voltage or Reactive Power schedule to the associated Generator Operator and direct the Generator Operator to comply with the schedule...." Also, Measure 1 and the associated compliance elements follow accordingly by stating that "The Transmission Operator shall have evidence it provided a voltage or Reactive Power schedule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Requirement 2 and Requirement 2.2 of VAR-002-1 relate somewhat to questions # 2 and 3. R2 states that "Unless exempted by the Transmission Operator, each Generator Operator shall maintain the generator voltage or Reactive Power output (within applicable Facility Ratings) as directed by the Transmission Operator." R2.2 goes on to state "When directed to modify voltage, the Generator Operator shall comply or provide an explanation of why the schedule cannot be met." [</w:t>
      </w:r>
      <w:proofErr w:type="gramStart"/>
      <w:r w:rsidRPr="00CD51EA">
        <w:rPr>
          <w:rFonts w:ascii="Times New Roman" w:hAnsi="Times New Roman" w:cs="Times New Roman"/>
          <w:sz w:val="24"/>
          <w:szCs w:val="24"/>
        </w:rPr>
        <w:t>footnotes</w:t>
      </w:r>
      <w:proofErr w:type="gramEnd"/>
      <w:r w:rsidRPr="00CD51EA">
        <w:rPr>
          <w:rFonts w:ascii="Times New Roman" w:hAnsi="Times New Roman" w:cs="Times New Roman"/>
          <w:sz w:val="24"/>
          <w:szCs w:val="24"/>
        </w:rPr>
        <w:t xml:space="preserve"> omitted.]</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 xml:space="preserve">18. NERC provided additional information in its transmittal letter accompanying the interpretation, noting that VAR-001-1, Requirement R2 states, "Each Transmission Operator shall acquire sufficient reactive resources within its area to protect the voltage levels under normal and Contingency conditions." NERC explained that, in order to fulfill Requirement R2, the transmission operator must perform a valid analysis of the system, using models that accurately represent equipment capabilities. Therefore, while NERC supported its interpretation of Requirement R4, including the finding that a requirement cannot establish implicit obligations, it stated that the issue that Dynegy raised for clarification is better resolved through an examination of Requirement R2. n21 </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19. In response, the Commission proposed to remand NERC's interpretation of VAR-001-1, Requirement R4, because the interpretation suggested that there is no requirement that a voltage schedule have a sound technical basis. The Commission noted that Order No. 693 stated that all Reliability Standards must be designed to achieve a specified </w:t>
      </w:r>
      <w:r w:rsidR="002F6D2C" w:rsidRPr="00CD51EA">
        <w:rPr>
          <w:rFonts w:ascii="Times New Roman" w:hAnsi="Times New Roman" w:cs="Times New Roman"/>
          <w:sz w:val="24"/>
          <w:szCs w:val="24"/>
        </w:rPr>
        <w:t>r</w:t>
      </w:r>
      <w:bookmarkStart w:id="1" w:name="_GoBack"/>
      <w:bookmarkEnd w:id="1"/>
      <w:r w:rsidRPr="00CD51EA">
        <w:rPr>
          <w:rFonts w:ascii="Times New Roman" w:hAnsi="Times New Roman" w:cs="Times New Roman"/>
          <w:sz w:val="24"/>
          <w:szCs w:val="24"/>
        </w:rPr>
        <w:t xml:space="preserve">eliability goal and must contain a technically sound means to achieve this goal. </w:t>
      </w:r>
      <w:proofErr w:type="gramStart"/>
      <w:r w:rsidRPr="00CD51EA">
        <w:rPr>
          <w:rFonts w:ascii="Times New Roman" w:hAnsi="Times New Roman" w:cs="Times New Roman"/>
          <w:sz w:val="24"/>
          <w:szCs w:val="24"/>
        </w:rPr>
        <w:t>n22</w:t>
      </w:r>
      <w:proofErr w:type="gramEnd"/>
      <w:r w:rsidRPr="00CD51EA">
        <w:rPr>
          <w:rFonts w:ascii="Times New Roman" w:hAnsi="Times New Roman" w:cs="Times New Roman"/>
          <w:sz w:val="24"/>
          <w:szCs w:val="24"/>
        </w:rPr>
        <w:t xml:space="preserve"> The  Commission thus disagreed with NERC's proposed interpretation because it suggested that a transmission operator could deliver a voltage schedule that lacked any technical basis. The Commission, citing the NERC Rules of Procedure, section 302.5, concluded that a voltage schedule should reflect technical analysis, i.e., sound engineering, as well as operating judgment and experience. n23 </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20. The NOPR also highlighted the Commission's review in Order No. 693 of each Reliability Standard and approval of those containing Requirements that are sufficiently clear as to be enforceable and that do not create due process concerns. </w:t>
      </w:r>
      <w:proofErr w:type="gramStart"/>
      <w:r w:rsidRPr="00CD51EA">
        <w:rPr>
          <w:rFonts w:ascii="Times New Roman" w:hAnsi="Times New Roman" w:cs="Times New Roman"/>
          <w:sz w:val="24"/>
          <w:szCs w:val="24"/>
        </w:rPr>
        <w:t>n24</w:t>
      </w:r>
      <w:proofErr w:type="gramEnd"/>
      <w:r w:rsidRPr="00CD51EA">
        <w:rPr>
          <w:rFonts w:ascii="Times New Roman" w:hAnsi="Times New Roman" w:cs="Times New Roman"/>
          <w:sz w:val="24"/>
          <w:szCs w:val="24"/>
        </w:rPr>
        <w:t xml:space="preserve"> The Commission noted that its approval in Order No. 693 of VAR-001-1 meant that  VAR-001-1 is sufficiently clear to inform transmission operators what is required of them. n25 The Commission acknowledged that it has elsewhere declined to specify in detail how a registered entity should implement a Reliability Standard, but countered that such actions do not mean that an entity seeking to comply with a Reliability Standard may act in a manner that is not technically sound, i.e., in a manner that is not grounded in sound engineering, and thus, not reasonable and practical. </w:t>
      </w:r>
      <w:proofErr w:type="gramStart"/>
      <w:r w:rsidRPr="00CD51EA">
        <w:rPr>
          <w:rFonts w:ascii="Times New Roman" w:hAnsi="Times New Roman" w:cs="Times New Roman"/>
          <w:sz w:val="24"/>
          <w:szCs w:val="24"/>
        </w:rPr>
        <w:t>n26</w:t>
      </w:r>
      <w:proofErr w:type="gramEnd"/>
      <w:r w:rsidRPr="00CD51EA">
        <w:rPr>
          <w:rFonts w:ascii="Times New Roman" w:hAnsi="Times New Roman" w:cs="Times New Roman"/>
          <w:sz w:val="24"/>
          <w:szCs w:val="24"/>
        </w:rPr>
        <w:t xml:space="preserve"> The Commission objected to NERC's proposed interpretation as implying that the voltage schedules provided under VAR-001-1, Requirement R4 need not have any technical basis, and thus need not be reasonable and practical.</w:t>
      </w:r>
    </w:p>
    <w:p w:rsidR="003A1615" w:rsidRPr="00CD51EA" w:rsidRDefault="003A1615" w:rsidP="00036910">
      <w:pPr>
        <w:rPr>
          <w:rFonts w:ascii="Times New Roman" w:hAnsi="Times New Roman" w:cs="Times New Roman"/>
          <w:sz w:val="24"/>
          <w:szCs w:val="24"/>
        </w:rPr>
      </w:pPr>
    </w:p>
    <w:p w:rsidR="003667C3" w:rsidRPr="00CD51EA" w:rsidRDefault="003A1615" w:rsidP="0096189A">
      <w:pPr>
        <w:rPr>
          <w:rFonts w:ascii="Times New Roman" w:hAnsi="Times New Roman" w:cs="Times New Roman"/>
          <w:sz w:val="24"/>
          <w:szCs w:val="24"/>
        </w:rPr>
      </w:pPr>
      <w:r w:rsidRPr="00CD51EA">
        <w:rPr>
          <w:rFonts w:ascii="Times New Roman" w:hAnsi="Times New Roman" w:cs="Times New Roman"/>
          <w:sz w:val="24"/>
          <w:szCs w:val="24"/>
        </w:rPr>
        <w:t>21. The Commission proposed in the NOPR to remand NERC's proposed interpretation of VAR-001-1, Requirement R4 for reconsideration consistent with this rulemaking. In addition, the Commission rejected an additional proposal from Dynegy, asserting that NERC needs to develop evaluation measures to review the technical basis for voltage schedules, as beyond the scope of the interpretation process. The Commission proposed that such an effort would be better discussed pursuant to a Standards Authorization Request under the NERC Reliability Standards Development Procedures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47. The Commission remands to the ERO the proposed interpretation of VAR-001-1, Requirement R4 and directs the ERO to revise the interpretation consistent with the Commission's discussion below.</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a. Voltage Schedules Provided under VAR-001-1, Requirement R4 Must Have a Sound Technical Basis.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48. Order No. 693 held that all Reliability Standards must be designed to achieve a specified reliability goal and must contain a technically sound means to achieve the goal. </w:t>
      </w:r>
      <w:proofErr w:type="gramStart"/>
      <w:r w:rsidRPr="00CD51EA">
        <w:rPr>
          <w:rFonts w:ascii="Times New Roman" w:hAnsi="Times New Roman" w:cs="Times New Roman"/>
          <w:sz w:val="24"/>
          <w:szCs w:val="24"/>
        </w:rPr>
        <w:t>n61</w:t>
      </w:r>
      <w:proofErr w:type="gramEnd"/>
      <w:r w:rsidRPr="00CD51EA">
        <w:rPr>
          <w:rFonts w:ascii="Times New Roman" w:hAnsi="Times New Roman" w:cs="Times New Roman"/>
          <w:sz w:val="24"/>
          <w:szCs w:val="24"/>
        </w:rPr>
        <w:t xml:space="preserve"> No participant disagrees with this assessment. </w:t>
      </w:r>
      <w:proofErr w:type="gramStart"/>
      <w:r w:rsidRPr="00CD51EA">
        <w:rPr>
          <w:rFonts w:ascii="Times New Roman" w:hAnsi="Times New Roman" w:cs="Times New Roman"/>
          <w:sz w:val="24"/>
          <w:szCs w:val="24"/>
        </w:rPr>
        <w:t>n62</w:t>
      </w:r>
      <w:proofErr w:type="gramEnd"/>
      <w:r w:rsidRPr="00CD51EA">
        <w:rPr>
          <w:rFonts w:ascii="Times New Roman" w:hAnsi="Times New Roman" w:cs="Times New Roman"/>
          <w:sz w:val="24"/>
          <w:szCs w:val="24"/>
        </w:rPr>
        <w:t xml:space="preserve"> Furthermore, no participant challenges the Commission's objection that the Reliability Standards should not permit delivery of a voltage schedule that lacks any technical basis. </w:t>
      </w:r>
      <w:proofErr w:type="gramStart"/>
      <w:r w:rsidRPr="00CD51EA">
        <w:rPr>
          <w:rFonts w:ascii="Times New Roman" w:hAnsi="Times New Roman" w:cs="Times New Roman"/>
          <w:sz w:val="24"/>
          <w:szCs w:val="24"/>
        </w:rPr>
        <w:t>n63</w:t>
      </w:r>
      <w:proofErr w:type="gramEnd"/>
      <w:r w:rsidRPr="00CD51EA">
        <w:rPr>
          <w:rFonts w:ascii="Times New Roman" w:hAnsi="Times New Roman" w:cs="Times New Roman"/>
          <w:sz w:val="24"/>
          <w:szCs w:val="24"/>
        </w:rPr>
        <w:t xml:space="preserve"> Instead, the participants suggest various </w:t>
      </w:r>
      <w:r w:rsidRPr="00CD51EA">
        <w:rPr>
          <w:rFonts w:ascii="Times New Roman" w:hAnsi="Times New Roman" w:cs="Times New Roman"/>
          <w:sz w:val="24"/>
          <w:szCs w:val="24"/>
        </w:rPr>
        <w:lastRenderedPageBreak/>
        <w:t xml:space="preserve">ways in which other Reliability Standards requirements provide that technical basis or at least do not permit transmission operators to engage in unsound practices with respect to voltage schedules. n64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49. VAR-001-1, Requirement R4 requires each transmission operator to specify a voltage schedule to be maintained by each generator and explains that the voltage schedule is a target voltage to be maintained within a tolerance band during a specified period. Requirement R4 is part of the means by which a transmission operator achieves the goal of VAR-001-1, "to ensure that voltage levels, reactive flows, and reactive resources are monitored, controlled, and maintained within limits in real time to protect equipment and the reliable operation of the Interconnection." Because Requirement R4 requires transmission owners to specify target voltages at each generator's interconnection with the system, while taking into account specific periods of use and facility tolerance bands, the Requirement is not merely a ministerial requirement, but, rather, presupposes the exercise of engineering judgment. These determinations are technical in nature, and, since they represent one of the means by which the VAR-001-1 Reliability Standard achieves its goal, they must be technically sound, that is, based on sound engineering. Actions that do not reflect sound engineering would not be technically sound. </w:t>
      </w:r>
      <w:proofErr w:type="gramStart"/>
      <w:r w:rsidRPr="00CD51EA">
        <w:rPr>
          <w:rFonts w:ascii="Times New Roman" w:hAnsi="Times New Roman" w:cs="Times New Roman"/>
          <w:sz w:val="24"/>
          <w:szCs w:val="24"/>
        </w:rPr>
        <w:t>n65</w:t>
      </w:r>
      <w:proofErr w:type="gramEnd"/>
      <w:r w:rsidRPr="00CD51EA">
        <w:rPr>
          <w:rFonts w:ascii="Times New Roman" w:hAnsi="Times New Roman" w:cs="Times New Roman"/>
          <w:sz w:val="24"/>
          <w:szCs w:val="24"/>
        </w:rPr>
        <w:t xml:space="preserve"> Therefore, the Commission adopts its NOPR proposal, and finds that a voltage schedule should reflect sound engineering, as well as operating judgment and experience. </w:t>
      </w:r>
      <w:proofErr w:type="gramStart"/>
      <w:r w:rsidRPr="00CD51EA">
        <w:rPr>
          <w:rFonts w:ascii="Times New Roman" w:hAnsi="Times New Roman" w:cs="Times New Roman"/>
          <w:sz w:val="24"/>
          <w:szCs w:val="24"/>
        </w:rPr>
        <w:t>n66</w:t>
      </w:r>
      <w:proofErr w:type="gramEnd"/>
      <w:r w:rsidRPr="00CD51EA">
        <w:rPr>
          <w:rFonts w:ascii="Times New Roman" w:hAnsi="Times New Roman" w:cs="Times New Roman"/>
          <w:sz w:val="24"/>
          <w:szCs w:val="24"/>
        </w:rPr>
        <w:t xml:space="preserve"> The Commission remands NERC's proposed VAR-001-1, Requirement R4 interpretation, in order that NERC may reconsider its interpretation consistent with this order.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t>n66</w:t>
      </w:r>
      <w:proofErr w:type="gramEnd"/>
      <w:r w:rsidRPr="00CD51EA">
        <w:rPr>
          <w:rFonts w:ascii="Times New Roman" w:hAnsi="Times New Roman" w:cs="Times New Roman"/>
          <w:sz w:val="24"/>
          <w:szCs w:val="24"/>
        </w:rPr>
        <w:t xml:space="preserve"> Order No. 693, FERC Stats. </w:t>
      </w:r>
      <w:proofErr w:type="gramStart"/>
      <w:r w:rsidRPr="00CD51EA">
        <w:rPr>
          <w:rFonts w:ascii="Times New Roman" w:hAnsi="Times New Roman" w:cs="Times New Roman"/>
          <w:sz w:val="24"/>
          <w:szCs w:val="24"/>
        </w:rPr>
        <w:t xml:space="preserve">&amp; </w:t>
      </w:r>
      <w:proofErr w:type="spellStart"/>
      <w:r w:rsidRPr="00CD51EA">
        <w:rPr>
          <w:rFonts w:ascii="Times New Roman" w:hAnsi="Times New Roman" w:cs="Times New Roman"/>
          <w:sz w:val="24"/>
          <w:szCs w:val="24"/>
        </w:rPr>
        <w:t>Regs</w:t>
      </w:r>
      <w:proofErr w:type="spellEnd"/>
      <w:r w:rsidRPr="00CD51EA">
        <w:rPr>
          <w:rFonts w:ascii="Times New Roman" w:hAnsi="Times New Roman" w:cs="Times New Roman"/>
          <w:sz w:val="24"/>
          <w:szCs w:val="24"/>
        </w:rPr>
        <w:t>.</w:t>
      </w:r>
      <w:proofErr w:type="gramEnd"/>
      <w:r w:rsidRPr="00CD51EA">
        <w:rPr>
          <w:rFonts w:ascii="Times New Roman" w:hAnsi="Times New Roman" w:cs="Times New Roman"/>
          <w:sz w:val="24"/>
          <w:szCs w:val="24"/>
        </w:rPr>
        <w:t xml:space="preserve"> P 31,242 at P 5 ("a Reliability Standard must provide for the Reliable Operation of Bulk-Power System facilities and may impose a requirement on any user, owner or operator of such facilities. It must be designed to achieve a specified reliability goal and must contain a technically sound means to achieve this goal. The Reliability Standard should be clear and unambiguous regarding what is required and who is required to comply. The possible consequences for violating a Reliability Standard should be clear and understandable to those who must comply. There should be clear criteria for whether an entity is in compliance with a Reliability Standard. While a Reliability Standard does not necessarily need to reflect the optimal method for achieving its reliability goal, a Reliability Standard should achieve its reliability goal effectively and efficiently."); see also Order No. 672, FERC Stats. </w:t>
      </w:r>
      <w:proofErr w:type="gramStart"/>
      <w:r w:rsidRPr="00CD51EA">
        <w:rPr>
          <w:rFonts w:ascii="Times New Roman" w:hAnsi="Times New Roman" w:cs="Times New Roman"/>
          <w:sz w:val="24"/>
          <w:szCs w:val="24"/>
        </w:rPr>
        <w:t xml:space="preserve">&amp; </w:t>
      </w:r>
      <w:proofErr w:type="spellStart"/>
      <w:r w:rsidRPr="00CD51EA">
        <w:rPr>
          <w:rFonts w:ascii="Times New Roman" w:hAnsi="Times New Roman" w:cs="Times New Roman"/>
          <w:sz w:val="24"/>
          <w:szCs w:val="24"/>
        </w:rPr>
        <w:t>Regs</w:t>
      </w:r>
      <w:proofErr w:type="spellEnd"/>
      <w:r w:rsidRPr="00CD51EA">
        <w:rPr>
          <w:rFonts w:ascii="Times New Roman" w:hAnsi="Times New Roman" w:cs="Times New Roman"/>
          <w:sz w:val="24"/>
          <w:szCs w:val="24"/>
        </w:rPr>
        <w:t>.</w:t>
      </w:r>
      <w:proofErr w:type="gramEnd"/>
      <w:r w:rsidRPr="00CD51EA">
        <w:rPr>
          <w:rFonts w:ascii="Times New Roman" w:hAnsi="Times New Roman" w:cs="Times New Roman"/>
          <w:sz w:val="24"/>
          <w:szCs w:val="24"/>
        </w:rPr>
        <w:t xml:space="preserve"> P 31,204 at P 324; accord NERC Rules of Procedure, section 302.5.</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b. Whether Support for a Sound Technical Basis is </w:t>
      </w:r>
      <w:proofErr w:type="gramStart"/>
      <w:r w:rsidRPr="00CD51EA">
        <w:rPr>
          <w:rFonts w:ascii="Times New Roman" w:hAnsi="Times New Roman" w:cs="Times New Roman"/>
          <w:sz w:val="24"/>
          <w:szCs w:val="24"/>
        </w:rPr>
        <w:t>Found</w:t>
      </w:r>
      <w:proofErr w:type="gramEnd"/>
      <w:r w:rsidRPr="00CD51EA">
        <w:rPr>
          <w:rFonts w:ascii="Times New Roman" w:hAnsi="Times New Roman" w:cs="Times New Roman"/>
          <w:sz w:val="24"/>
          <w:szCs w:val="24"/>
        </w:rPr>
        <w:t xml:space="preserve"> in Other Reliability Standards and Requirements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50. Several participants, including NERC and Ameren, claim that, in the broader context of the Reliability Standards, there is already an obligation to use technically sound means to comply with VAR-001-1, Requirement R4. </w:t>
      </w:r>
      <w:proofErr w:type="gramStart"/>
      <w:r w:rsidRPr="00CD51EA">
        <w:rPr>
          <w:rFonts w:ascii="Times New Roman" w:hAnsi="Times New Roman" w:cs="Times New Roman"/>
          <w:sz w:val="24"/>
          <w:szCs w:val="24"/>
        </w:rPr>
        <w:t>n67</w:t>
      </w:r>
      <w:proofErr w:type="gramEnd"/>
      <w:r w:rsidRPr="00CD51EA">
        <w:rPr>
          <w:rFonts w:ascii="Times New Roman" w:hAnsi="Times New Roman" w:cs="Times New Roman"/>
          <w:sz w:val="24"/>
          <w:szCs w:val="24"/>
        </w:rPr>
        <w:t xml:space="preserve"> The Commission recognizes and appreciates, as part of the NERC filing, the additional information included to allay concerns that generator operators may receive a voltage schedule that is either unsafe or not technically feasible. However, if analysis of other Reliability Standard requirements provides the necessary clarification, such analysis should be made part of the formal interpretation. Thus, in this case, if the actions performed pursuant to other Reliability Standard requirements cited in the participants' comments describe actions that form the basis for development of voltage schedules, then the interpretation should reflect that fact.</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lastRenderedPageBreak/>
        <w:t>n67</w:t>
      </w:r>
      <w:proofErr w:type="gramEnd"/>
      <w:r w:rsidRPr="00CD51EA">
        <w:rPr>
          <w:rFonts w:ascii="Times New Roman" w:hAnsi="Times New Roman" w:cs="Times New Roman"/>
          <w:sz w:val="24"/>
          <w:szCs w:val="24"/>
        </w:rPr>
        <w:t xml:space="preserve"> NERC comments at 8-9 (discussing VAR-001-1, Requirements R2, R9.1 and R11); Ameren comments at 6 (discussing VAR-002-1a, Requirement R2). See also EEI comments at 2 (supporting NERC conclusion); IESO comments at 6 (discussing transmission operations Reliability Standards, TOP-002-2, et al.). However, participants also suggest that a failure to meet that obligation would not constitute an enforceable violation of VAR-001-1, Requirement R4. See EEI comments at 2.</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51. Some petitioners suggest that other Reliability Standard requirements may mitigate any negative impact of a voltage schedule that lacks a sound technical basis, and thus imply that Requirement R4 need not reflect a sound technical basis, or they suggest that the clarification sought by the Commission is not necessary. The Commission does not agree. As discussed above, voltage schedules developed pursuant to VAR-001-1, Requirement R4 must have a sound technical basis, and failure to properly perform the task would constitute an independent violation of the Reliability Standard.</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c. The Commission Is Not Imposing Implicit Requirements.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52. The Commission disagrees with participants claiming that the Commission's understanding of Requirement R4 would impermissibly create a new "implicit" requirement, or that such requirements would introduce an unworkable subjective analysis into Reliability Standard enforcement. As the NOPR stated, the Commission reviewed each Reliability Standard and, in Order No. 693, approved those containing Requirements that are sufficiently clear as to be enforceable and that do not create due process concerns. n68 The Commission included [**47]  VAR-001-1 as among the Reliability Standards that are sufficiently clear to inform transmission operators what is required of them. n69 Order No. 693 declined to order more specificity on the technical basis in the current version of VAR-001-1, but instead found that the development of more detailed requirements to address such concerns are best addressed by the ERO through the Reliability Standards development process. </w:t>
      </w:r>
      <w:proofErr w:type="gramStart"/>
      <w:r w:rsidRPr="00CD51EA">
        <w:rPr>
          <w:rFonts w:ascii="Times New Roman" w:hAnsi="Times New Roman" w:cs="Times New Roman"/>
          <w:sz w:val="24"/>
          <w:szCs w:val="24"/>
        </w:rPr>
        <w:t>n70</w:t>
      </w:r>
      <w:proofErr w:type="gramEnd"/>
      <w:r w:rsidRPr="00CD51EA">
        <w:rPr>
          <w:rFonts w:ascii="Times New Roman" w:hAnsi="Times New Roman" w:cs="Times New Roman"/>
          <w:sz w:val="24"/>
          <w:szCs w:val="24"/>
        </w:rPr>
        <w:t xml:space="preserve"> However, that finding does not suggest that existing requirements may be performed without any technical basis.</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53. FirstEnergy interprets the Commission's proposal as finding that there are "implicit" obligations in Requirement R4 that should be explicitly incorporated into the Reliability Standard. To the contrary, as noted in the NOPR, the Commission has elsewhere declined to specify in detail how a registered entity should implement a Reliability Standard, n71 and so we [**48]  do not direct NERC to modify VAR-001-1, Requirement R4, at this time. </w:t>
      </w:r>
      <w:proofErr w:type="gramStart"/>
      <w:r w:rsidRPr="00CD51EA">
        <w:rPr>
          <w:rFonts w:ascii="Times New Roman" w:hAnsi="Times New Roman" w:cs="Times New Roman"/>
          <w:sz w:val="24"/>
          <w:szCs w:val="24"/>
        </w:rPr>
        <w:t>n72</w:t>
      </w:r>
      <w:proofErr w:type="gramEnd"/>
      <w:r w:rsidRPr="00CD51EA">
        <w:rPr>
          <w:rFonts w:ascii="Times New Roman" w:hAnsi="Times New Roman" w:cs="Times New Roman"/>
          <w:sz w:val="24"/>
          <w:szCs w:val="24"/>
        </w:rPr>
        <w:t xml:space="preserve"> The Commission affirms its approval in Order No. 693 of VAR-001-1, Requirement R4, and its finding that Requirement R4 is, as written, sufficiently clear to inform entities of what is required of them.</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t>n71</w:t>
      </w:r>
      <w:proofErr w:type="gramEnd"/>
      <w:r w:rsidRPr="00CD51EA">
        <w:rPr>
          <w:rFonts w:ascii="Times New Roman" w:hAnsi="Times New Roman" w:cs="Times New Roman"/>
          <w:sz w:val="24"/>
          <w:szCs w:val="24"/>
        </w:rPr>
        <w:t xml:space="preserve"> NOPR, FERC Stats. </w:t>
      </w:r>
      <w:proofErr w:type="gramStart"/>
      <w:r w:rsidRPr="00CD51EA">
        <w:rPr>
          <w:rFonts w:ascii="Times New Roman" w:hAnsi="Times New Roman" w:cs="Times New Roman"/>
          <w:sz w:val="24"/>
          <w:szCs w:val="24"/>
        </w:rPr>
        <w:t xml:space="preserve">&amp; </w:t>
      </w:r>
      <w:proofErr w:type="spellStart"/>
      <w:r w:rsidRPr="00CD51EA">
        <w:rPr>
          <w:rFonts w:ascii="Times New Roman" w:hAnsi="Times New Roman" w:cs="Times New Roman"/>
          <w:sz w:val="24"/>
          <w:szCs w:val="24"/>
        </w:rPr>
        <w:t>Regs</w:t>
      </w:r>
      <w:proofErr w:type="spellEnd"/>
      <w:r w:rsidRPr="00CD51EA">
        <w:rPr>
          <w:rFonts w:ascii="Times New Roman" w:hAnsi="Times New Roman" w:cs="Times New Roman"/>
          <w:sz w:val="24"/>
          <w:szCs w:val="24"/>
        </w:rPr>
        <w:t>.</w:t>
      </w:r>
      <w:proofErr w:type="gramEnd"/>
      <w:r w:rsidRPr="00CD51EA">
        <w:rPr>
          <w:rFonts w:ascii="Times New Roman" w:hAnsi="Times New Roman" w:cs="Times New Roman"/>
          <w:sz w:val="24"/>
          <w:szCs w:val="24"/>
        </w:rPr>
        <w:t xml:space="preserve"> P 32,639 at P 31; see also Order No. 672, FERC Stats. </w:t>
      </w:r>
      <w:proofErr w:type="gramStart"/>
      <w:r w:rsidRPr="00CD51EA">
        <w:rPr>
          <w:rFonts w:ascii="Times New Roman" w:hAnsi="Times New Roman" w:cs="Times New Roman"/>
          <w:sz w:val="24"/>
          <w:szCs w:val="24"/>
        </w:rPr>
        <w:t xml:space="preserve">&amp; </w:t>
      </w:r>
      <w:proofErr w:type="spellStart"/>
      <w:r w:rsidRPr="00CD51EA">
        <w:rPr>
          <w:rFonts w:ascii="Times New Roman" w:hAnsi="Times New Roman" w:cs="Times New Roman"/>
          <w:sz w:val="24"/>
          <w:szCs w:val="24"/>
        </w:rPr>
        <w:t>Regs</w:t>
      </w:r>
      <w:proofErr w:type="spellEnd"/>
      <w:r w:rsidRPr="00CD51EA">
        <w:rPr>
          <w:rFonts w:ascii="Times New Roman" w:hAnsi="Times New Roman" w:cs="Times New Roman"/>
          <w:sz w:val="24"/>
          <w:szCs w:val="24"/>
        </w:rPr>
        <w:t>.</w:t>
      </w:r>
      <w:proofErr w:type="gramEnd"/>
      <w:r w:rsidRPr="00CD51EA">
        <w:rPr>
          <w:rFonts w:ascii="Times New Roman" w:hAnsi="Times New Roman" w:cs="Times New Roman"/>
          <w:sz w:val="24"/>
          <w:szCs w:val="24"/>
        </w:rPr>
        <w:t xml:space="preserve"> P 31,204 at P 260 (stating that implementation procedures should be included when inextricably linked to the Reliability Standard or when leaving out implementation features could: (1) sacrifice necessary uniformity in implementation of the Reliability Standard; (2) create uncertainty for the entity that has to follow the Reliability Standard; (3) make enforcement difficult; and (4) increase the complexity of the Commission's oversight and review process).</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lastRenderedPageBreak/>
        <w:t>n72</w:t>
      </w:r>
      <w:proofErr w:type="gramEnd"/>
      <w:r w:rsidRPr="00CD51EA">
        <w:rPr>
          <w:rFonts w:ascii="Times New Roman" w:hAnsi="Times New Roman" w:cs="Times New Roman"/>
          <w:sz w:val="24"/>
          <w:szCs w:val="24"/>
        </w:rPr>
        <w:t xml:space="preserve"> Requirement R4 does not prescribe any one particular method of achieving compliance, but instead permits transmission operators to implement Reliability Standards through a variety of technically sound means.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d. Requirement R4 is Mandatory and Enforceable</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54. Several participants claim that any requirement under VAR-001-1 to issue a technically based voltage schedule cannot be audited or enforced because VAR-001-1 lacks measures or compliance elements associated with such a requirement. </w:t>
      </w:r>
      <w:proofErr w:type="gramStart"/>
      <w:r w:rsidRPr="00CD51EA">
        <w:rPr>
          <w:rFonts w:ascii="Times New Roman" w:hAnsi="Times New Roman" w:cs="Times New Roman"/>
          <w:sz w:val="24"/>
          <w:szCs w:val="24"/>
        </w:rPr>
        <w:t>n73</w:t>
      </w:r>
      <w:proofErr w:type="gramEnd"/>
      <w:r w:rsidRPr="00CD51EA">
        <w:rPr>
          <w:rFonts w:ascii="Times New Roman" w:hAnsi="Times New Roman" w:cs="Times New Roman"/>
          <w:sz w:val="24"/>
          <w:szCs w:val="24"/>
        </w:rPr>
        <w:t xml:space="preserve"> We do not agree. In Order No. 693, the Commission approved Reliability Standards without associated measures, stating that it disagreed with comments that a Reliability Standard cannot reasonably be enforced, or is otherwise not just and reasonable, solely because it does not include enforcement measures and compliance elements. The Commission reasoned that while such compliance elements and enforcement measures provided useful guidance, "compliance will in all cases be measured by determining whether a party met or failed to meet the Requirement given the specific facts and circumstances of its use, ownership or operation of the Bulk-Power System." n74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55. Ameren complains that a remand of the interpretation lacks specific instructions for transmission operators to implement an implicit Requirement. In addition, Ameren speculates that disagreements as to the sufficiency of a particular voltage schedule may arise between parties involved in implementation and enforcement. Again, the Commission affirms </w:t>
      </w:r>
      <w:proofErr w:type="gramStart"/>
      <w:r w:rsidRPr="00CD51EA">
        <w:rPr>
          <w:rFonts w:ascii="Times New Roman" w:hAnsi="Times New Roman" w:cs="Times New Roman"/>
          <w:sz w:val="24"/>
          <w:szCs w:val="24"/>
        </w:rPr>
        <w:t>its</w:t>
      </w:r>
      <w:proofErr w:type="gramEnd"/>
      <w:r w:rsidRPr="00CD51EA">
        <w:rPr>
          <w:rFonts w:ascii="Times New Roman" w:hAnsi="Times New Roman" w:cs="Times New Roman"/>
          <w:sz w:val="24"/>
          <w:szCs w:val="24"/>
        </w:rPr>
        <w:t xml:space="preserve"> finding in Order No. 693 that Requirement R4 is sufficiently clear; to be enforceable, Reliability Standards need not "spell out in minute detail all factual scenarios that might violate a Requirement and the precise consequences of that violation." n75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proofErr w:type="gramStart"/>
      <w:r w:rsidRPr="00CD51EA">
        <w:rPr>
          <w:rFonts w:ascii="Times New Roman" w:hAnsi="Times New Roman" w:cs="Times New Roman"/>
          <w:sz w:val="24"/>
          <w:szCs w:val="24"/>
        </w:rPr>
        <w:t>n75</w:t>
      </w:r>
      <w:proofErr w:type="gramEnd"/>
      <w:r w:rsidRPr="00CD51EA">
        <w:rPr>
          <w:rFonts w:ascii="Times New Roman" w:hAnsi="Times New Roman" w:cs="Times New Roman"/>
          <w:sz w:val="24"/>
          <w:szCs w:val="24"/>
        </w:rPr>
        <w:t xml:space="preserve"> Id. P 274-75 ("the Commission finds that none of the Reliability Standards that we approve today contains an ambiguity that renders it unenforceable or otherwise unjust and unreasonable").</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b/>
          <w:sz w:val="24"/>
          <w:szCs w:val="24"/>
        </w:rPr>
      </w:pPr>
      <w:r w:rsidRPr="00CD51EA">
        <w:rPr>
          <w:rFonts w:ascii="Times New Roman" w:hAnsi="Times New Roman" w:cs="Times New Roman"/>
          <w:b/>
          <w:sz w:val="24"/>
          <w:szCs w:val="24"/>
        </w:rPr>
        <w:t>North American Electric Reliability Corporation, 134 FERC ¶ 61,015 (January 10, 2011)</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w:t>
      </w:r>
      <w:proofErr w:type="gramStart"/>
      <w:r w:rsidRPr="00CD51EA">
        <w:rPr>
          <w:rFonts w:ascii="Times New Roman" w:hAnsi="Times New Roman" w:cs="Times New Roman"/>
          <w:sz w:val="24"/>
          <w:szCs w:val="24"/>
        </w:rPr>
        <w:t>n2</w:t>
      </w:r>
      <w:proofErr w:type="gramEnd"/>
      <w:r w:rsidRPr="00CD51EA">
        <w:rPr>
          <w:rFonts w:ascii="Times New Roman" w:hAnsi="Times New Roman" w:cs="Times New Roman"/>
          <w:sz w:val="24"/>
          <w:szCs w:val="24"/>
        </w:rPr>
        <w:t xml:space="preserve">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3A1615" w:rsidRPr="00CD51EA" w:rsidRDefault="003A1615" w:rsidP="003B4245">
      <w:pPr>
        <w:rPr>
          <w:rFonts w:ascii="Times New Roman" w:hAnsi="Times New Roman" w:cs="Times New Roman"/>
          <w:b/>
          <w:sz w:val="24"/>
          <w:szCs w:val="24"/>
        </w:rPr>
      </w:pPr>
    </w:p>
    <w:p w:rsidR="003A1615" w:rsidRPr="00CD51EA" w:rsidRDefault="00DC630B" w:rsidP="00DC630B">
      <w:pPr>
        <w:rPr>
          <w:rFonts w:ascii="Times New Roman" w:hAnsi="Times New Roman" w:cs="Times New Roman"/>
          <w:b/>
          <w:sz w:val="24"/>
          <w:szCs w:val="24"/>
        </w:rPr>
      </w:pPr>
      <w:proofErr w:type="gramStart"/>
      <w:r w:rsidRPr="00CD51EA">
        <w:rPr>
          <w:rFonts w:ascii="Times New Roman" w:hAnsi="Times New Roman" w:cs="Times New Roman"/>
          <w:b/>
          <w:sz w:val="24"/>
          <w:szCs w:val="24"/>
        </w:rPr>
        <w:t xml:space="preserve">FERC Letter Order in </w:t>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t>Docket No.</w:t>
      </w:r>
      <w:proofErr w:type="gramEnd"/>
      <w:r w:rsidR="00D46A6D" w:rsidRPr="00CD51EA">
        <w:rPr>
          <w:rFonts w:ascii="Times New Roman" w:hAnsi="Times New Roman" w:cs="Times New Roman"/>
          <w:b/>
          <w:sz w:val="24"/>
          <w:szCs w:val="24"/>
        </w:rPr>
        <w:t xml:space="preserve"> RD13-6-000 (June 20, 2013)</w:t>
      </w:r>
    </w:p>
    <w:p w:rsidR="00551D9C" w:rsidRPr="00CD51EA" w:rsidRDefault="00551D9C" w:rsidP="003B4245">
      <w:pPr>
        <w:rPr>
          <w:rFonts w:ascii="Times New Roman" w:hAnsi="Times New Roman" w:cs="Times New Roman"/>
          <w:b/>
          <w:sz w:val="24"/>
          <w:szCs w:val="24"/>
        </w:rPr>
      </w:pPr>
    </w:p>
    <w:p w:rsidR="00DC630B" w:rsidRPr="00CD51EA" w:rsidRDefault="00D46A6D" w:rsidP="00CD51EA">
      <w:pPr>
        <w:pStyle w:val="FERCparanumber"/>
        <w:widowControl/>
        <w:numPr>
          <w:ilvl w:val="0"/>
          <w:numId w:val="0"/>
        </w:numPr>
        <w:spacing w:after="240"/>
        <w:rPr>
          <w:sz w:val="24"/>
        </w:rPr>
      </w:pPr>
      <w:r w:rsidRPr="00CD51EA">
        <w:rPr>
          <w:sz w:val="24"/>
        </w:rPr>
        <w:t>On February 25, 2013, NERC filed a Petition (Petition) seeking approval of proposed Reliability Standard VAR-001-3 (Voltage and Reactive Control).  Proposed VAR-001-3 developed by NERC and the Western Electricity Coordinating Council (WECC) modifies the currently-effective Reliability Standard VAR-001-2 by adding Section E (“Regional Variance”) that would be applicable to registered entities in WECC.  NERC also seeks approval of the associated implementation plan, Violation Risk Factors (“VRFs”), Violation Severity Levels (“VSLs”), and retirement of VAR-001-2.  NERC states that the Regional Variance contains requirements that are more stringent than the continent-wide Requirements R3 and R4 of VAR-001-2, and “provides an alternative approach to meeting the same reliability objective based on physical differences in the Western Interconnection.”</w:t>
      </w:r>
      <w:r w:rsidRPr="00CD51EA">
        <w:rPr>
          <w:rStyle w:val="FootnoteReference"/>
          <w:bCs/>
          <w:sz w:val="24"/>
        </w:rPr>
        <w:footnoteReference w:id="2"/>
      </w:r>
      <w:r w:rsidRPr="00CD51EA">
        <w:rPr>
          <w:rStyle w:val="FootnoteReference"/>
          <w:bCs/>
          <w:sz w:val="24"/>
        </w:rPr>
        <w:t xml:space="preserve">  </w:t>
      </w:r>
    </w:p>
    <w:p w:rsidR="00DC630B" w:rsidRPr="00CD51EA" w:rsidRDefault="00D46A6D" w:rsidP="00CD51EA">
      <w:pPr>
        <w:pStyle w:val="FERCparanumber"/>
        <w:widowControl/>
        <w:numPr>
          <w:ilvl w:val="0"/>
          <w:numId w:val="0"/>
        </w:numPr>
        <w:spacing w:after="240"/>
        <w:rPr>
          <w:sz w:val="24"/>
        </w:rPr>
      </w:pPr>
      <w:r w:rsidRPr="00CD51EA">
        <w:rPr>
          <w:sz w:val="24"/>
        </w:rPr>
        <w:t xml:space="preserve">In its filing, NERC proposed to modify VAR-001-2 by deleting Requirement R3 and replacing Requirement R4 for application in the Western Interconnection.  Presently, Requirement R3 of VAR-001-2 allows Transmission Operators the option of specifying criteria that exempt generators from compliance with the Requirements defined in VAR-001-2, Requirement R4 and Requirement R6.1.  Requirement R3 would remain applicable to registered entities outside of WECC.  The proposed Regional Variance requires Transmission Operators to: (1) issue a choice of voltage schedules for each of the generating resources that are on-line and part of the bulk electric system in its area; (2) provide to Generator Operators a voltage schedule reference point; and (3) provide transmission equipment data and operating data requested by Generator Operators to support their set point conversion methodology.  </w:t>
      </w:r>
    </w:p>
    <w:p w:rsidR="00DC630B" w:rsidRPr="00CD51EA" w:rsidRDefault="00D46A6D" w:rsidP="00CD51EA">
      <w:pPr>
        <w:pStyle w:val="FERCparanumber"/>
        <w:widowControl/>
        <w:numPr>
          <w:ilvl w:val="0"/>
          <w:numId w:val="0"/>
        </w:numPr>
        <w:spacing w:after="240"/>
        <w:rPr>
          <w:sz w:val="24"/>
        </w:rPr>
      </w:pPr>
      <w:r w:rsidRPr="00CD51EA">
        <w:rPr>
          <w:sz w:val="24"/>
        </w:rPr>
        <w:t>NERC explains that the proposed Regional Variance is necessary to improve the ability of Generator Operators in the Western Interconnection to operate within the automatic voltage control mode requirements of VAR-002-WECC-1 in cases where Transmission Operators issue schedules in reactive terms rather than a voltage schedule.  Specifically, the Regional Variance will ensure that voltage levels are within limits to protect equipment during system disturbances in the Western Interconnection.</w:t>
      </w:r>
    </w:p>
    <w:p w:rsidR="00DC630B" w:rsidRPr="00CD51EA" w:rsidRDefault="00D46A6D" w:rsidP="00CD51EA">
      <w:pPr>
        <w:pStyle w:val="FERCparanumber"/>
        <w:widowControl/>
        <w:numPr>
          <w:ilvl w:val="0"/>
          <w:numId w:val="0"/>
        </w:numPr>
        <w:spacing w:after="240"/>
        <w:rPr>
          <w:sz w:val="24"/>
        </w:rPr>
      </w:pPr>
      <w:r w:rsidRPr="00CD51EA">
        <w:rPr>
          <w:sz w:val="24"/>
        </w:rPr>
        <w:t xml:space="preserve">NERC also indicates that the proposed variance is more stringent than the currently effective continent-wide Reliability Standard VAR-001-2 which gives Transmission Operators the option to specify either a voltage or a reactive power schedule to be maintained by each generator.  The Regional Variance contained in Proposed VAR-001-3 would require Transmission Operators to provide a voltage schedule to Generator Operators rather </w:t>
      </w:r>
      <w:r w:rsidRPr="00CD51EA">
        <w:rPr>
          <w:sz w:val="24"/>
        </w:rPr>
        <w:lastRenderedPageBreak/>
        <w:t>than making it optional as the continent-wide standard presently allows.  Such schedules could be conveyed through a reactive power level, provided it is converted to a voltage level for the automatic voltage regulator’s automatic voltage control setting.  This approach will enhance the voltage control for the Western Interconnection by requiring Generator Operators to convert the voltage schedule specified in proposed requirement E.A.13 into the voltage set point for the generator excitation system…</w:t>
      </w:r>
    </w:p>
    <w:p w:rsidR="00551D9C" w:rsidRDefault="00D46A6D" w:rsidP="003B4245">
      <w:pPr>
        <w:rPr>
          <w:rFonts w:ascii="Times New Roman" w:hAnsi="Times New Roman" w:cs="Times New Roman"/>
          <w:sz w:val="24"/>
          <w:szCs w:val="24"/>
        </w:rPr>
      </w:pPr>
      <w:r w:rsidRPr="00CD51EA">
        <w:rPr>
          <w:rFonts w:ascii="Times New Roman" w:hAnsi="Times New Roman" w:cs="Times New Roman"/>
          <w:sz w:val="24"/>
          <w:szCs w:val="24"/>
        </w:rPr>
        <w:t>NERC’s uncontested filing is approved pursuant to the relevant authority delegated</w:t>
      </w:r>
      <w:r w:rsidR="00DC630B" w:rsidRPr="00CD51EA">
        <w:rPr>
          <w:rFonts w:ascii="Times New Roman" w:hAnsi="Times New Roman" w:cs="Times New Roman"/>
          <w:sz w:val="24"/>
          <w:szCs w:val="24"/>
        </w:rPr>
        <w:t xml:space="preserve"> to the Director, Office of Electric Reliability, under 18 C.F.R. § 375.303, effective as of the date of this Order.</w:t>
      </w:r>
    </w:p>
    <w:p w:rsidR="00DC630B" w:rsidRDefault="00DC630B" w:rsidP="003B4245">
      <w:pPr>
        <w:rPr>
          <w:rFonts w:ascii="Times New Roman" w:hAnsi="Times New Roman" w:cs="Times New Roman"/>
          <w:b/>
          <w:sz w:val="28"/>
          <w:szCs w:val="28"/>
        </w:rPr>
      </w:pPr>
    </w:p>
    <w:p w:rsidR="003B4245" w:rsidRPr="008B3775" w:rsidRDefault="003B4245" w:rsidP="003B4245">
      <w:pPr>
        <w:rPr>
          <w:rFonts w:ascii="Times New Roman" w:hAnsi="Times New Roman" w:cs="Times New Roman"/>
          <w:b/>
          <w:sz w:val="28"/>
          <w:szCs w:val="28"/>
        </w:rPr>
      </w:pPr>
      <w:r w:rsidRPr="008B3775">
        <w:rPr>
          <w:rFonts w:ascii="Times New Roman" w:hAnsi="Times New Roman" w:cs="Times New Roman"/>
          <w:b/>
          <w:sz w:val="28"/>
          <w:szCs w:val="28"/>
        </w:rPr>
        <w:t>Revision History</w:t>
      </w:r>
    </w:p>
    <w:p w:rsidR="003B4245" w:rsidRDefault="003B4245" w:rsidP="003B424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6"/>
        <w:gridCol w:w="1792"/>
        <w:gridCol w:w="1980"/>
        <w:gridCol w:w="5940"/>
      </w:tblGrid>
      <w:tr w:rsidR="003B4245" w:rsidRPr="00B2607F" w:rsidTr="00D15D23">
        <w:tc>
          <w:tcPr>
            <w:tcW w:w="1016"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Original Document</w:t>
            </w:r>
          </w:p>
        </w:tc>
      </w:tr>
      <w:tr w:rsidR="003B4245" w:rsidRPr="00B2607F" w:rsidTr="00D15D23">
        <w:tc>
          <w:tcPr>
            <w:tcW w:w="1016" w:type="dxa"/>
          </w:tcPr>
          <w:p w:rsidR="003B4245" w:rsidRPr="00B2607F" w:rsidRDefault="003667C3"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3B4245" w:rsidTr="00D15D23">
        <w:tc>
          <w:tcPr>
            <w:tcW w:w="1016" w:type="dxa"/>
            <w:tcBorders>
              <w:top w:val="single" w:sz="4" w:space="0" w:color="000000"/>
              <w:left w:val="single" w:sz="4" w:space="0" w:color="000000"/>
              <w:bottom w:val="single" w:sz="4" w:space="0" w:color="000000"/>
              <w:right w:val="single" w:sz="4" w:space="0" w:color="000000"/>
            </w:tcBorders>
          </w:tcPr>
          <w:p w:rsidR="003B4245" w:rsidRDefault="00CD51EA" w:rsidP="00D15D23">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3B4245" w:rsidRDefault="00AF59FC" w:rsidP="00D15D23">
            <w:pPr>
              <w:rPr>
                <w:rFonts w:ascii="Times New Roman" w:hAnsi="Times New Roman" w:cs="Times New Roman"/>
                <w:sz w:val="24"/>
                <w:szCs w:val="24"/>
              </w:rPr>
            </w:pPr>
            <w:r>
              <w:rPr>
                <w:rFonts w:ascii="Times New Roman" w:hAnsi="Times New Roman" w:cs="Times New Roman"/>
                <w:sz w:val="24"/>
                <w:szCs w:val="24"/>
              </w:rPr>
              <w:t>December</w:t>
            </w:r>
            <w:r w:rsidR="00CD51EA">
              <w:rPr>
                <w:rFonts w:ascii="Times New Roman" w:hAnsi="Times New Roman" w:cs="Times New Roman"/>
                <w:sz w:val="24"/>
                <w:szCs w:val="24"/>
              </w:rPr>
              <w:t xml:space="preserve"> 2013</w:t>
            </w:r>
          </w:p>
        </w:tc>
        <w:tc>
          <w:tcPr>
            <w:tcW w:w="1980" w:type="dxa"/>
            <w:tcBorders>
              <w:top w:val="single" w:sz="4" w:space="0" w:color="000000"/>
              <w:left w:val="single" w:sz="4" w:space="0" w:color="000000"/>
              <w:bottom w:val="single" w:sz="4" w:space="0" w:color="000000"/>
              <w:right w:val="single" w:sz="4" w:space="0" w:color="000000"/>
            </w:tcBorders>
          </w:tcPr>
          <w:p w:rsidR="003B4245" w:rsidRDefault="00CD51EA" w:rsidP="00D15D23">
            <w:pPr>
              <w:rPr>
                <w:rFonts w:ascii="Times New Roman" w:hAnsi="Times New Roman" w:cs="Times New Roman"/>
                <w:sz w:val="24"/>
                <w:szCs w:val="24"/>
              </w:rPr>
            </w:pPr>
            <w:r>
              <w:rPr>
                <w:rFonts w:ascii="Times New Roman" w:hAnsi="Times New Roman" w:cs="Times New Roman"/>
                <w:sz w:val="24"/>
                <w:szCs w:val="24"/>
              </w:rPr>
              <w:t>RSAW Task Force, NERC Legal</w:t>
            </w:r>
          </w:p>
        </w:tc>
        <w:tc>
          <w:tcPr>
            <w:tcW w:w="5940" w:type="dxa"/>
            <w:tcBorders>
              <w:top w:val="single" w:sz="4" w:space="0" w:color="000000"/>
              <w:left w:val="single" w:sz="4" w:space="0" w:color="000000"/>
              <w:bottom w:val="single" w:sz="4" w:space="0" w:color="000000"/>
              <w:right w:val="single" w:sz="4" w:space="0" w:color="000000"/>
            </w:tcBorders>
          </w:tcPr>
          <w:p w:rsidR="003B4245" w:rsidRDefault="00CD51EA" w:rsidP="00D15D23">
            <w:pPr>
              <w:rPr>
                <w:rFonts w:ascii="Times New Roman" w:hAnsi="Times New Roman" w:cs="Times New Roman"/>
                <w:sz w:val="24"/>
                <w:szCs w:val="24"/>
              </w:rPr>
            </w:pPr>
            <w:r>
              <w:rPr>
                <w:rFonts w:ascii="Times New Roman" w:hAnsi="Times New Roman" w:cs="Times New Roman"/>
                <w:sz w:val="24"/>
                <w:szCs w:val="24"/>
              </w:rPr>
              <w:t>Updated to reflect version 3 of the Reliability Standard.</w:t>
            </w: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bl>
    <w:p w:rsidR="0096189A" w:rsidRPr="00F74CCA" w:rsidRDefault="0096189A" w:rsidP="00A93C23">
      <w:pPr>
        <w:rPr>
          <w:rFonts w:ascii="Times New Roman" w:hAnsi="Times New Roman" w:cs="Times New Roman"/>
          <w:sz w:val="24"/>
          <w:szCs w:val="24"/>
        </w:rPr>
      </w:pPr>
    </w:p>
    <w:p w:rsidR="00D13309" w:rsidRDefault="00D13309" w:rsidP="00D13309">
      <w:pPr>
        <w:widowControl w:val="0"/>
        <w:spacing w:line="220" w:lineRule="exact"/>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default" r:id="rId14"/>
      <w:footerReference w:type="default" r:id="rId15"/>
      <w:pgSz w:w="12240" w:h="15840"/>
      <w:pgMar w:top="360" w:right="720" w:bottom="360" w:left="720" w:header="360" w:footer="36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FB61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5E5" w:rsidRDefault="001075E5">
      <w:r>
        <w:separator/>
      </w:r>
    </w:p>
  </w:endnote>
  <w:endnote w:type="continuationSeparator" w:id="0">
    <w:p w:rsidR="001075E5" w:rsidRDefault="00107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5E5" w:rsidRPr="00DD25D8" w:rsidRDefault="001075E5"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_____________________ </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______________________ </w:t>
    </w:r>
  </w:p>
  <w:p w:rsidR="001075E5"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 </w:t>
    </w:r>
  </w:p>
  <w:p w:rsidR="001075E5" w:rsidRDefault="001075E5"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RSAW_VAR-001-3_2013_v</w:t>
    </w:r>
    <w:r w:rsidR="00CD51EA">
      <w:rPr>
        <w:rFonts w:ascii="Times New Roman" w:hAnsi="Times New Roman"/>
        <w:sz w:val="18"/>
        <w:szCs w:val="18"/>
      </w:rPr>
      <w:t>2</w:t>
    </w:r>
  </w:p>
  <w:p w:rsidR="001075E5" w:rsidRPr="00DD25D8" w:rsidRDefault="001075E5"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54F27">
      <w:rPr>
        <w:rFonts w:ascii="Times New Roman" w:hAnsi="Times New Roman" w:cs="Times New Roman"/>
        <w:color w:val="000000"/>
        <w:sz w:val="18"/>
        <w:szCs w:val="18"/>
      </w:rPr>
      <w:t>December</w:t>
    </w:r>
    <w:r>
      <w:rPr>
        <w:rFonts w:ascii="Times New Roman" w:hAnsi="Times New Roman" w:cs="Times New Roman"/>
        <w:color w:val="000000"/>
        <w:sz w:val="18"/>
        <w:szCs w:val="18"/>
      </w:rPr>
      <w:t xml:space="preserve"> 2013</w:t>
    </w:r>
  </w:p>
  <w:p w:rsidR="001075E5" w:rsidRPr="00DD25D8" w:rsidRDefault="00460155"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001075E5"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D54F27">
      <w:rPr>
        <w:rStyle w:val="PageNumber"/>
        <w:rFonts w:ascii="Times New Roman" w:hAnsi="Times New Roman" w:cs="Times New Roman"/>
        <w:noProof/>
        <w:sz w:val="18"/>
        <w:szCs w:val="18"/>
      </w:rPr>
      <w:t>28</w:t>
    </w:r>
    <w:r w:rsidRPr="00DD25D8">
      <w:rPr>
        <w:rStyle w:val="PageNumber"/>
        <w:rFonts w:ascii="Times New Roman" w:hAnsi="Times New Roman" w:cs="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5E5" w:rsidRDefault="001075E5">
      <w:r>
        <w:separator/>
      </w:r>
    </w:p>
  </w:footnote>
  <w:footnote w:type="continuationSeparator" w:id="0">
    <w:p w:rsidR="001075E5" w:rsidRDefault="001075E5">
      <w:r>
        <w:continuationSeparator/>
      </w:r>
    </w:p>
  </w:footnote>
  <w:footnote w:id="1">
    <w:p w:rsidR="001075E5" w:rsidRPr="00841FBB" w:rsidRDefault="001075E5">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 w:id="2">
    <w:p w:rsidR="001075E5" w:rsidRDefault="001075E5" w:rsidP="00DC630B">
      <w:pPr>
        <w:pStyle w:val="FootnoteText"/>
      </w:pPr>
      <w:r>
        <w:rPr>
          <w:rStyle w:val="FootnoteReference"/>
        </w:rPr>
        <w:footnoteRef/>
      </w:r>
      <w:r>
        <w:t xml:space="preserve"> </w:t>
      </w:r>
      <w:proofErr w:type="gramStart"/>
      <w:r>
        <w:t>NERC Petition at 2.</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5E5" w:rsidRDefault="001075E5" w:rsidP="009830C0">
    <w:pPr>
      <w:widowControl w:val="0"/>
      <w:spacing w:line="240" w:lineRule="exact"/>
      <w:rPr>
        <w:rFonts w:cs="Times New Roman"/>
      </w:rPr>
    </w:pPr>
  </w:p>
  <w:p w:rsidR="001075E5" w:rsidRPr="006813F3" w:rsidRDefault="001075E5"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075E5" w:rsidRDefault="001075E5" w:rsidP="009830C0">
    <w:pPr>
      <w:widowControl w:val="0"/>
      <w:spacing w:before="66"/>
      <w:rPr>
        <w:rFonts w:cs="Times New Roman"/>
      </w:rPr>
    </w:pPr>
    <w:r>
      <w:rPr>
        <w:rFonts w:cs="Times New Roman"/>
        <w:noProof/>
      </w:rPr>
      <w:drawing>
        <wp:inline distT="0" distB="0" distL="0" distR="0">
          <wp:extent cx="5955665" cy="47625"/>
          <wp:effectExtent l="0" t="0" r="6985" b="952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55665" cy="47625"/>
                  </a:xfrm>
                  <a:prstGeom prst="rect">
                    <a:avLst/>
                  </a:prstGeom>
                  <a:noFill/>
                  <a:ln>
                    <a:noFill/>
                  </a:ln>
                </pic:spPr>
              </pic:pic>
            </a:graphicData>
          </a:graphic>
        </wp:inline>
      </w:drawing>
    </w:r>
  </w:p>
  <w:p w:rsidR="001075E5" w:rsidRDefault="001075E5" w:rsidP="009830C0">
    <w:pPr>
      <w:widowControl w:val="0"/>
      <w:spacing w:line="248" w:lineRule="exact"/>
      <w:rPr>
        <w:rFonts w:cs="Times New Roman"/>
      </w:rPr>
    </w:pPr>
  </w:p>
  <w:p w:rsidR="001075E5" w:rsidRDefault="001075E5">
    <w:pPr>
      <w:widowControl w:val="0"/>
      <w:spacing w:line="248" w:lineRule="exact"/>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5EE719D3"/>
    <w:multiLevelType w:val="hybridMultilevel"/>
    <w:tmpl w:val="B9A2F77C"/>
    <w:lvl w:ilvl="0" w:tplc="E4FAF836">
      <w:start w:val="1"/>
      <w:numFmt w:val="decimal"/>
      <w:pStyle w:val="FERCparanumber"/>
      <w:lvlText w:val="%1."/>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 Kichline">
    <w15:presenceInfo w15:providerId="None" w15:userId="Ed Kichlin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15AB3"/>
    <w:rsid w:val="00007C02"/>
    <w:rsid w:val="00026D7E"/>
    <w:rsid w:val="00032871"/>
    <w:rsid w:val="00036910"/>
    <w:rsid w:val="000436D8"/>
    <w:rsid w:val="0008084C"/>
    <w:rsid w:val="000A4CA0"/>
    <w:rsid w:val="000A5C7D"/>
    <w:rsid w:val="001075E5"/>
    <w:rsid w:val="00160FC6"/>
    <w:rsid w:val="001D4643"/>
    <w:rsid w:val="00204D91"/>
    <w:rsid w:val="00224765"/>
    <w:rsid w:val="002316B7"/>
    <w:rsid w:val="00250552"/>
    <w:rsid w:val="002564F5"/>
    <w:rsid w:val="00280CB7"/>
    <w:rsid w:val="002A7377"/>
    <w:rsid w:val="002A7D34"/>
    <w:rsid w:val="002B00C0"/>
    <w:rsid w:val="002B1D6C"/>
    <w:rsid w:val="002B3614"/>
    <w:rsid w:val="002B62A7"/>
    <w:rsid w:val="002C00F4"/>
    <w:rsid w:val="002E6B10"/>
    <w:rsid w:val="002E6BFF"/>
    <w:rsid w:val="002F6D2C"/>
    <w:rsid w:val="003163A1"/>
    <w:rsid w:val="00322905"/>
    <w:rsid w:val="003459AA"/>
    <w:rsid w:val="00357C59"/>
    <w:rsid w:val="003667C3"/>
    <w:rsid w:val="003907B2"/>
    <w:rsid w:val="003A1615"/>
    <w:rsid w:val="003A4D12"/>
    <w:rsid w:val="003B4245"/>
    <w:rsid w:val="003D554C"/>
    <w:rsid w:val="003E40E6"/>
    <w:rsid w:val="003E48F2"/>
    <w:rsid w:val="003F03D3"/>
    <w:rsid w:val="003F607A"/>
    <w:rsid w:val="004155F1"/>
    <w:rsid w:val="004321CE"/>
    <w:rsid w:val="00460155"/>
    <w:rsid w:val="0046130A"/>
    <w:rsid w:val="004646D5"/>
    <w:rsid w:val="00475C89"/>
    <w:rsid w:val="00496A76"/>
    <w:rsid w:val="004B15BB"/>
    <w:rsid w:val="004C05EE"/>
    <w:rsid w:val="004D0F44"/>
    <w:rsid w:val="0052382F"/>
    <w:rsid w:val="00551D9C"/>
    <w:rsid w:val="00556D6A"/>
    <w:rsid w:val="005901D3"/>
    <w:rsid w:val="00593F67"/>
    <w:rsid w:val="00594652"/>
    <w:rsid w:val="005A2DD1"/>
    <w:rsid w:val="005D2CF0"/>
    <w:rsid w:val="005D6E0E"/>
    <w:rsid w:val="00642EF6"/>
    <w:rsid w:val="006430CA"/>
    <w:rsid w:val="006A46A1"/>
    <w:rsid w:val="006B0756"/>
    <w:rsid w:val="006B112A"/>
    <w:rsid w:val="006D431F"/>
    <w:rsid w:val="006F422B"/>
    <w:rsid w:val="00727D95"/>
    <w:rsid w:val="007436D9"/>
    <w:rsid w:val="00753968"/>
    <w:rsid w:val="00771E61"/>
    <w:rsid w:val="00785A93"/>
    <w:rsid w:val="00793FA5"/>
    <w:rsid w:val="00796B39"/>
    <w:rsid w:val="007A2298"/>
    <w:rsid w:val="007A2E9E"/>
    <w:rsid w:val="007B008A"/>
    <w:rsid w:val="007B1953"/>
    <w:rsid w:val="007D757F"/>
    <w:rsid w:val="007E4420"/>
    <w:rsid w:val="00841FBB"/>
    <w:rsid w:val="0085526B"/>
    <w:rsid w:val="008713CE"/>
    <w:rsid w:val="008729F2"/>
    <w:rsid w:val="00875EAE"/>
    <w:rsid w:val="0088194B"/>
    <w:rsid w:val="00891391"/>
    <w:rsid w:val="00896485"/>
    <w:rsid w:val="008A2D0F"/>
    <w:rsid w:val="008B3775"/>
    <w:rsid w:val="008B3DA5"/>
    <w:rsid w:val="008C5487"/>
    <w:rsid w:val="008D691B"/>
    <w:rsid w:val="008D7074"/>
    <w:rsid w:val="008F4B5C"/>
    <w:rsid w:val="00915AB3"/>
    <w:rsid w:val="00915C14"/>
    <w:rsid w:val="009231FF"/>
    <w:rsid w:val="009248A4"/>
    <w:rsid w:val="009316B6"/>
    <w:rsid w:val="0094212B"/>
    <w:rsid w:val="00955029"/>
    <w:rsid w:val="0096189A"/>
    <w:rsid w:val="009830C0"/>
    <w:rsid w:val="0098335F"/>
    <w:rsid w:val="00993AE0"/>
    <w:rsid w:val="009A0B7F"/>
    <w:rsid w:val="009B2D36"/>
    <w:rsid w:val="009B6C78"/>
    <w:rsid w:val="009D4C4C"/>
    <w:rsid w:val="009E385E"/>
    <w:rsid w:val="009E6126"/>
    <w:rsid w:val="009F6B11"/>
    <w:rsid w:val="00A00B5B"/>
    <w:rsid w:val="00A03275"/>
    <w:rsid w:val="00A11E8C"/>
    <w:rsid w:val="00A16C46"/>
    <w:rsid w:val="00A345A5"/>
    <w:rsid w:val="00A6266B"/>
    <w:rsid w:val="00A63867"/>
    <w:rsid w:val="00A641B0"/>
    <w:rsid w:val="00A67828"/>
    <w:rsid w:val="00A9209E"/>
    <w:rsid w:val="00A9222A"/>
    <w:rsid w:val="00A93C23"/>
    <w:rsid w:val="00A9655F"/>
    <w:rsid w:val="00AC3185"/>
    <w:rsid w:val="00AD3382"/>
    <w:rsid w:val="00AE4A31"/>
    <w:rsid w:val="00AF59FC"/>
    <w:rsid w:val="00AF6F3E"/>
    <w:rsid w:val="00B2239D"/>
    <w:rsid w:val="00B92992"/>
    <w:rsid w:val="00BD5823"/>
    <w:rsid w:val="00C027A5"/>
    <w:rsid w:val="00C44DB8"/>
    <w:rsid w:val="00C5395B"/>
    <w:rsid w:val="00CA0BE9"/>
    <w:rsid w:val="00CA26EF"/>
    <w:rsid w:val="00CB519B"/>
    <w:rsid w:val="00CB63E7"/>
    <w:rsid w:val="00CD51EA"/>
    <w:rsid w:val="00CD604B"/>
    <w:rsid w:val="00D10463"/>
    <w:rsid w:val="00D13309"/>
    <w:rsid w:val="00D15D23"/>
    <w:rsid w:val="00D17ECB"/>
    <w:rsid w:val="00D318C9"/>
    <w:rsid w:val="00D46A6D"/>
    <w:rsid w:val="00D54F27"/>
    <w:rsid w:val="00D57FDF"/>
    <w:rsid w:val="00D914A2"/>
    <w:rsid w:val="00DA5BF8"/>
    <w:rsid w:val="00DC630B"/>
    <w:rsid w:val="00DD25D8"/>
    <w:rsid w:val="00DE1FFB"/>
    <w:rsid w:val="00DF16E8"/>
    <w:rsid w:val="00DF4F91"/>
    <w:rsid w:val="00E02900"/>
    <w:rsid w:val="00E150BF"/>
    <w:rsid w:val="00E2107E"/>
    <w:rsid w:val="00E219ED"/>
    <w:rsid w:val="00E31BE5"/>
    <w:rsid w:val="00E41E09"/>
    <w:rsid w:val="00E51443"/>
    <w:rsid w:val="00E54B6F"/>
    <w:rsid w:val="00E7383C"/>
    <w:rsid w:val="00E76824"/>
    <w:rsid w:val="00E8138E"/>
    <w:rsid w:val="00E82129"/>
    <w:rsid w:val="00E83138"/>
    <w:rsid w:val="00E91D97"/>
    <w:rsid w:val="00E94906"/>
    <w:rsid w:val="00EA2FB3"/>
    <w:rsid w:val="00EA6610"/>
    <w:rsid w:val="00EB0786"/>
    <w:rsid w:val="00EB53B8"/>
    <w:rsid w:val="00ED62E4"/>
    <w:rsid w:val="00EE493A"/>
    <w:rsid w:val="00F204ED"/>
    <w:rsid w:val="00F54252"/>
    <w:rsid w:val="00F62A9D"/>
    <w:rsid w:val="00F74CCA"/>
    <w:rsid w:val="00FB1D6E"/>
    <w:rsid w:val="00FB58C7"/>
    <w:rsid w:val="00FC34BE"/>
    <w:rsid w:val="00FD7DCE"/>
    <w:rsid w:val="00FF0BCA"/>
    <w:rsid w:val="00FF129E"/>
    <w:rsid w:val="00FF32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D7DCE"/>
    <w:pPr>
      <w:widowControl w:val="0"/>
      <w:tabs>
        <w:tab w:val="center" w:pos="5400"/>
      </w:tabs>
    </w:pPr>
    <w:rPr>
      <w:rFonts w:cs="Times New Roman"/>
    </w:rPr>
  </w:style>
  <w:style w:type="paragraph" w:customStyle="1" w:styleId="Style16">
    <w:name w:val="Style16"/>
    <w:basedOn w:val="Normal"/>
    <w:uiPriority w:val="99"/>
    <w:rsid w:val="00FD7DCE"/>
    <w:pPr>
      <w:widowControl w:val="0"/>
      <w:tabs>
        <w:tab w:val="center" w:pos="5399"/>
      </w:tabs>
    </w:pPr>
    <w:rPr>
      <w:rFonts w:cs="Times New Roman"/>
    </w:rPr>
  </w:style>
  <w:style w:type="paragraph" w:styleId="Header">
    <w:name w:val="header"/>
    <w:basedOn w:val="Normal"/>
    <w:link w:val="HeaderChar"/>
    <w:uiPriority w:val="99"/>
    <w:semiHidden/>
    <w:unhideWhenUsed/>
    <w:rsid w:val="002B3614"/>
    <w:pPr>
      <w:tabs>
        <w:tab w:val="center" w:pos="4680"/>
        <w:tab w:val="right" w:pos="9360"/>
      </w:tabs>
    </w:pPr>
  </w:style>
  <w:style w:type="character" w:customStyle="1" w:styleId="HeaderChar">
    <w:name w:val="Header Char"/>
    <w:basedOn w:val="DefaultParagraphFont"/>
    <w:link w:val="Header"/>
    <w:uiPriority w:val="99"/>
    <w:semiHidden/>
    <w:rsid w:val="002B3614"/>
    <w:rPr>
      <w:rFonts w:ascii="Arial" w:hAnsi="Arial" w:cs="Arial"/>
      <w:sz w:val="20"/>
      <w:szCs w:val="20"/>
    </w:rPr>
  </w:style>
  <w:style w:type="paragraph" w:styleId="Footer">
    <w:name w:val="footer"/>
    <w:basedOn w:val="Normal"/>
    <w:link w:val="FooterChar"/>
    <w:uiPriority w:val="99"/>
    <w:semiHidden/>
    <w:unhideWhenUsed/>
    <w:rsid w:val="002B3614"/>
    <w:pPr>
      <w:tabs>
        <w:tab w:val="center" w:pos="4680"/>
        <w:tab w:val="right" w:pos="9360"/>
      </w:tabs>
    </w:pPr>
  </w:style>
  <w:style w:type="character" w:customStyle="1" w:styleId="FooterChar">
    <w:name w:val="Footer Char"/>
    <w:basedOn w:val="DefaultParagraphFont"/>
    <w:link w:val="Footer"/>
    <w:uiPriority w:val="99"/>
    <w:semiHidden/>
    <w:rsid w:val="002B3614"/>
    <w:rPr>
      <w:rFonts w:ascii="Arial" w:hAnsi="Arial" w:cs="Arial"/>
      <w:sz w:val="20"/>
      <w:szCs w:val="20"/>
    </w:rPr>
  </w:style>
  <w:style w:type="character" w:styleId="Hyperlink">
    <w:name w:val="Hyperlink"/>
    <w:basedOn w:val="DefaultParagraphFont"/>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basedOn w:val="DefaultParagraphFont"/>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customStyle="1" w:styleId="LightShading-Accent11">
    <w:name w:val="Light Shading - Accent 1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basedOn w:val="DefaultParagraphFont"/>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link w:val="FootnoteTextChar"/>
    <w:rsid w:val="00841FBB"/>
  </w:style>
  <w:style w:type="character" w:styleId="FootnoteReference">
    <w:name w:val="footnote reference"/>
    <w:aliases w:val="o,fr,o1,fr1,o2,fr2,o3,fr3,Style 13,Style 12,Style 15,Style 17,Style 9,Style 18,(NECG) Footnote Reference,Style 20,Style 7,Styl,Style 8,Style 19,Style 28,Style 11,Style 16,Footnote Reference (EIS),fnr,Footnote reference (EA),Style 30,."/>
    <w:basedOn w:val="DefaultParagraphFont"/>
    <w:rsid w:val="00841FBB"/>
    <w:rPr>
      <w:vertAlign w:val="superscript"/>
    </w:rPr>
  </w:style>
  <w:style w:type="character" w:customStyle="1" w:styleId="Heading1Char">
    <w:name w:val="Heading 1 Char"/>
    <w:basedOn w:val="DefaultParagraphFont"/>
    <w:link w:val="Heading1"/>
    <w:rsid w:val="00A63867"/>
    <w:rPr>
      <w:rFonts w:ascii="Tahoma" w:hAnsi="Tahoma" w:cs="Tahoma"/>
      <w:color w:val="264D74"/>
      <w:sz w:val="40"/>
      <w:szCs w:val="40"/>
    </w:rPr>
  </w:style>
  <w:style w:type="character" w:styleId="Strong">
    <w:name w:val="Strong"/>
    <w:basedOn w:val="DefaultParagraphFont"/>
    <w:qFormat/>
    <w:rsid w:val="008729F2"/>
    <w:rPr>
      <w:b/>
      <w:bCs/>
    </w:rPr>
  </w:style>
  <w:style w:type="paragraph" w:styleId="Revision">
    <w:name w:val="Revision"/>
    <w:hidden/>
    <w:uiPriority w:val="99"/>
    <w:semiHidden/>
    <w:rsid w:val="007D757F"/>
    <w:rPr>
      <w:rFonts w:ascii="Arial" w:hAnsi="Arial" w:cs="Arial"/>
    </w:rPr>
  </w:style>
  <w:style w:type="paragraph" w:customStyle="1" w:styleId="FERCparanumber">
    <w:name w:val="FERC paranumber"/>
    <w:basedOn w:val="Normal"/>
    <w:rsid w:val="00DC630B"/>
    <w:pPr>
      <w:widowControl w:val="0"/>
      <w:numPr>
        <w:numId w:val="11"/>
      </w:numPr>
    </w:pPr>
    <w:rPr>
      <w:rFonts w:ascii="Times New Roman" w:hAnsi="Times New Roman" w:cs="Times New Roman"/>
      <w:sz w:val="26"/>
      <w:szCs w:val="24"/>
    </w:rPr>
  </w:style>
  <w:style w:type="character" w:customStyle="1" w:styleId="FootnoteTextChar">
    <w:name w:val="Footnote Text Char"/>
    <w:basedOn w:val="DefaultParagraphFont"/>
    <w:link w:val="FootnoteText"/>
    <w:rsid w:val="00DC630B"/>
    <w:rPr>
      <w:rFonts w:ascii="Arial" w:hAnsi="Arial" w:cs="Arial"/>
    </w:rPr>
  </w:style>
</w:styles>
</file>

<file path=word/webSettings.xml><?xml version="1.0" encoding="utf-8"?>
<w:webSettings xmlns:r="http://schemas.openxmlformats.org/officeDocument/2006/relationships" xmlns:w="http://schemas.openxmlformats.org/wordprocessingml/2006/main">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VAR-001-2</Number>
    <Date xmlns="987b8a77-3dc6-4154-9fe1-b1e590735b19">2011-10-16T04:00:00+00:00</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62B70-5092-4A6D-AEE4-F9DF4718D71E}">
  <ds:schemaRefs>
    <ds:schemaRef ds:uri="http://schemas.microsoft.com/sharepoint/events"/>
  </ds:schemaRefs>
</ds:datastoreItem>
</file>

<file path=customXml/itemProps2.xml><?xml version="1.0" encoding="utf-8"?>
<ds:datastoreItem xmlns:ds="http://schemas.openxmlformats.org/officeDocument/2006/customXml" ds:itemID="{F1405030-AD92-412C-B9D7-025F9E96F3A3}">
  <ds:schemaRefs>
    <ds:schemaRef ds:uri="http://schemas.microsoft.com/sharepoint/v3/contenttype/forms"/>
  </ds:schemaRefs>
</ds:datastoreItem>
</file>

<file path=customXml/itemProps3.xml><?xml version="1.0" encoding="utf-8"?>
<ds:datastoreItem xmlns:ds="http://schemas.openxmlformats.org/officeDocument/2006/customXml" ds:itemID="{D0ACEF5E-1893-48E8-830C-C54812F42332}">
  <ds:schemaRefs>
    <ds:schemaRef ds:uri="http://schemas.microsoft.com/office/2006/metadata/longProperties"/>
  </ds:schemaRefs>
</ds:datastoreItem>
</file>

<file path=customXml/itemProps4.xml><?xml version="1.0" encoding="utf-8"?>
<ds:datastoreItem xmlns:ds="http://schemas.openxmlformats.org/officeDocument/2006/customXml" ds:itemID="{5F1B20CD-6694-4488-809C-E60EDCB02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D14CF7-B079-48A2-A6E7-DCFB702E15ED}">
  <ds:schemaRefs>
    <ds:schemaRef ds:uri="http://schemas.microsoft.com/office/2006/metadata/properties"/>
    <ds:schemaRef ds:uri="987b8a77-3dc6-4154-9fe1-b1e590735b19"/>
  </ds:schemaRefs>
</ds:datastoreItem>
</file>

<file path=customXml/itemProps6.xml><?xml version="1.0" encoding="utf-8"?>
<ds:datastoreItem xmlns:ds="http://schemas.openxmlformats.org/officeDocument/2006/customXml" ds:itemID="{F0E19171-B005-4497-B524-3D8B6E07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6916</Words>
  <Characters>42940</Characters>
  <Application>Microsoft Office Word</Application>
  <DocSecurity>0</DocSecurity>
  <Lines>357</Lines>
  <Paragraphs>99</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Company/>
  <LinksUpToDate>false</LinksUpToDate>
  <CharactersWithSpaces>49757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creator>NERC</dc:creator>
  <cp:lastModifiedBy>gibbonsm</cp:lastModifiedBy>
  <cp:revision>3</cp:revision>
  <cp:lastPrinted>2013-07-26T13:35:00Z</cp:lastPrinted>
  <dcterms:created xsi:type="dcterms:W3CDTF">2013-12-02T21:48:00Z</dcterms:created>
  <dcterms:modified xsi:type="dcterms:W3CDTF">2013-12-02T21:49:00Z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NERCASSETID-406-118</vt:lpwstr>
  </property>
  <property fmtid="{D5CDD505-2E9C-101B-9397-08002B2CF9AE}" pid="3" name="_dlc_DocIdItemGuid">
    <vt:lpwstr>d13b0c6c-b9ca-4210-aa6f-4df9da0d5d10</vt:lpwstr>
  </property>
  <property fmtid="{D5CDD505-2E9C-101B-9397-08002B2CF9AE}" pid="4" name="_dlc_DocIdUrl">
    <vt:lpwstr>http://www.nerc.com/pa/comp/_layouts/DocIdRedir.aspx?ID=NERCASSETID-406-118, NERCASSETID-406-118</vt:lpwstr>
  </property>
  <property fmtid="{D5CDD505-2E9C-101B-9397-08002B2CF9AE}" pid="5" name="xd_Signature">
    <vt:lpwstr/>
  </property>
  <property fmtid="{D5CDD505-2E9C-101B-9397-08002B2CF9AE}" pid="6" name="Order">
    <vt:lpwstr>11800.0000000000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